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30DD" w14:textId="638590D3" w:rsidR="007A0535" w:rsidRPr="004A4051" w:rsidRDefault="007A0535" w:rsidP="001725FB">
      <w:pPr>
        <w:jc w:val="right"/>
      </w:pPr>
      <w:r w:rsidRPr="004A4051">
        <w:t xml:space="preserve">Appendix 1 </w:t>
      </w:r>
    </w:p>
    <w:p w14:paraId="271A78C3" w14:textId="77777777" w:rsidR="007A0535" w:rsidRPr="004A4051" w:rsidRDefault="007A0535" w:rsidP="001725FB">
      <w:pPr>
        <w:jc w:val="right"/>
      </w:pPr>
      <w:r w:rsidRPr="004A4051">
        <w:t xml:space="preserve">to minutes #4 of the Tariff Committee </w:t>
      </w:r>
    </w:p>
    <w:p w14:paraId="3D9788A9" w14:textId="77777777" w:rsidR="007A0535" w:rsidRPr="004A4051" w:rsidRDefault="007A0535" w:rsidP="001725FB">
      <w:pPr>
        <w:jc w:val="right"/>
      </w:pPr>
      <w:r w:rsidRPr="004A4051">
        <w:t>of SkyBridge Invest JSC</w:t>
      </w:r>
    </w:p>
    <w:p w14:paraId="7962A198" w14:textId="40AE7A06" w:rsidR="007A0535" w:rsidRDefault="007A0535" w:rsidP="001725FB">
      <w:pPr>
        <w:jc w:val="right"/>
      </w:pPr>
      <w:r w:rsidRPr="004A4051">
        <w:t>dated August 23, 2023</w:t>
      </w:r>
    </w:p>
    <w:p w14:paraId="0C771C20" w14:textId="24AA289D" w:rsidR="00824E02" w:rsidRPr="004A4051" w:rsidRDefault="00C616F3" w:rsidP="001725FB">
      <w:pPr>
        <w:jc w:val="right"/>
      </w:pPr>
      <w:r>
        <w:t xml:space="preserve">Effective </w:t>
      </w:r>
      <w:r w:rsidR="001D7237">
        <w:t>October 3, 2023</w:t>
      </w:r>
    </w:p>
    <w:p w14:paraId="57DE3B21" w14:textId="77777777" w:rsidR="007A0535" w:rsidRPr="004A4051" w:rsidRDefault="007A0535" w:rsidP="007A0535">
      <w:pPr>
        <w:jc w:val="center"/>
        <w:rPr>
          <w:color w:val="152C52"/>
        </w:rPr>
      </w:pPr>
    </w:p>
    <w:p w14:paraId="368F55F8" w14:textId="00906E9D" w:rsidR="007A0535" w:rsidRPr="004A4051" w:rsidRDefault="00490628" w:rsidP="007A0535">
      <w:pPr>
        <w:jc w:val="center"/>
        <w:rPr>
          <w:rFonts w:eastAsiaTheme="minorEastAsia"/>
          <w:b/>
          <w:bCs/>
          <w:sz w:val="22"/>
          <w:szCs w:val="22"/>
        </w:rPr>
      </w:pPr>
      <w:r w:rsidRPr="004A4051">
        <w:rPr>
          <w:b/>
          <w:sz w:val="22"/>
        </w:rPr>
        <w:t xml:space="preserve">SkyBridge Invest JSC’s </w:t>
      </w:r>
      <w:r w:rsidR="00F528C6" w:rsidRPr="004A4051">
        <w:rPr>
          <w:b/>
          <w:sz w:val="22"/>
        </w:rPr>
        <w:t xml:space="preserve">Brokerage </w:t>
      </w:r>
      <w:r w:rsidRPr="004A4051">
        <w:rPr>
          <w:b/>
          <w:sz w:val="22"/>
        </w:rPr>
        <w:t xml:space="preserve">and </w:t>
      </w:r>
      <w:r w:rsidR="00F528C6" w:rsidRPr="004A4051">
        <w:rPr>
          <w:b/>
          <w:sz w:val="22"/>
        </w:rPr>
        <w:t xml:space="preserve">Nominee Holding Services Tariffs Applicable </w:t>
      </w:r>
      <w:r w:rsidRPr="004A4051">
        <w:rPr>
          <w:b/>
          <w:sz w:val="22"/>
        </w:rPr>
        <w:t xml:space="preserve">to </w:t>
      </w:r>
      <w:r w:rsidR="00F528C6" w:rsidRPr="004A4051">
        <w:rPr>
          <w:b/>
          <w:sz w:val="22"/>
        </w:rPr>
        <w:t>Resident Legal Entities</w:t>
      </w:r>
    </w:p>
    <w:p w14:paraId="5B6B5AE0" w14:textId="77777777" w:rsidR="00307360" w:rsidRPr="004A4051" w:rsidRDefault="00307360" w:rsidP="007A0535">
      <w:pPr>
        <w:jc w:val="center"/>
        <w:rPr>
          <w:b/>
          <w:bCs/>
          <w:color w:val="152C52"/>
        </w:rPr>
      </w:pPr>
    </w:p>
    <w:tbl>
      <w:tblPr>
        <w:tblW w:w="9947" w:type="dxa"/>
        <w:tblInd w:w="-577" w:type="dxa"/>
        <w:tblLook w:val="04A0" w:firstRow="1" w:lastRow="0" w:firstColumn="1" w:lastColumn="0" w:noHBand="0" w:noVBand="1"/>
      </w:tblPr>
      <w:tblGrid>
        <w:gridCol w:w="4401"/>
        <w:gridCol w:w="5546"/>
      </w:tblGrid>
      <w:tr w:rsidR="00307360" w:rsidRPr="004A4051" w14:paraId="61B68711" w14:textId="77777777" w:rsidTr="00CB1A0C">
        <w:trPr>
          <w:trHeight w:val="750"/>
          <w:tblHeader/>
        </w:trPr>
        <w:tc>
          <w:tcPr>
            <w:tcW w:w="4401"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D60515E" w14:textId="7CEB28CC" w:rsidR="00307360" w:rsidRPr="004A4051" w:rsidRDefault="00490628" w:rsidP="00203149">
            <w:pPr>
              <w:jc w:val="center"/>
              <w:rPr>
                <w:b/>
                <w:sz w:val="20"/>
                <w:szCs w:val="20"/>
              </w:rPr>
            </w:pPr>
            <w:r w:rsidRPr="004A4051">
              <w:br w:type="page"/>
            </w:r>
            <w:r w:rsidRPr="004A4051">
              <w:rPr>
                <w:b/>
                <w:sz w:val="20"/>
              </w:rPr>
              <w:t>Transaction type</w:t>
            </w:r>
          </w:p>
        </w:tc>
        <w:tc>
          <w:tcPr>
            <w:tcW w:w="5546" w:type="dxa"/>
            <w:tcBorders>
              <w:top w:val="single" w:sz="8" w:space="0" w:color="auto"/>
              <w:left w:val="nil"/>
              <w:bottom w:val="single" w:sz="4" w:space="0" w:color="auto"/>
              <w:right w:val="single" w:sz="4" w:space="0" w:color="auto"/>
            </w:tcBorders>
            <w:shd w:val="clear" w:color="000000" w:fill="BFBFBF"/>
            <w:vAlign w:val="center"/>
            <w:hideMark/>
          </w:tcPr>
          <w:p w14:paraId="231E6FDF" w14:textId="77777777" w:rsidR="00307360" w:rsidRPr="004A4051" w:rsidRDefault="00307360" w:rsidP="00203149">
            <w:pPr>
              <w:jc w:val="center"/>
              <w:rPr>
                <w:b/>
                <w:bCs/>
                <w:sz w:val="20"/>
                <w:szCs w:val="20"/>
              </w:rPr>
            </w:pPr>
            <w:r w:rsidRPr="004A4051">
              <w:rPr>
                <w:b/>
                <w:sz w:val="20"/>
              </w:rPr>
              <w:t xml:space="preserve">Corporate customer tariffs </w:t>
            </w:r>
          </w:p>
        </w:tc>
      </w:tr>
      <w:tr w:rsidR="00307360" w:rsidRPr="004A4051" w14:paraId="6C571187" w14:textId="77777777" w:rsidTr="00CB1A0C">
        <w:trPr>
          <w:cantSplit/>
          <w:trHeight w:val="424"/>
          <w:tblHeader/>
        </w:trPr>
        <w:tc>
          <w:tcPr>
            <w:tcW w:w="9947"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326874D6" w14:textId="77777777" w:rsidR="00307360" w:rsidRPr="004A4051" w:rsidRDefault="00307360" w:rsidP="00203149">
            <w:pPr>
              <w:jc w:val="center"/>
              <w:rPr>
                <w:b/>
                <w:bCs/>
                <w:sz w:val="20"/>
                <w:szCs w:val="20"/>
              </w:rPr>
            </w:pPr>
            <w:r w:rsidRPr="004A4051">
              <w:rPr>
                <w:b/>
                <w:color w:val="FFFFFF"/>
                <w:sz w:val="20"/>
              </w:rPr>
              <w:t>Nominee holding services</w:t>
            </w:r>
          </w:p>
        </w:tc>
      </w:tr>
      <w:tr w:rsidR="00307360" w:rsidRPr="004A4051" w14:paraId="219C16C9" w14:textId="77777777" w:rsidTr="00CB1A0C">
        <w:trPr>
          <w:trHeight w:val="510"/>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63485570" w14:textId="77777777" w:rsidR="00307360" w:rsidRPr="004A4051" w:rsidRDefault="00307360" w:rsidP="00203149">
            <w:pPr>
              <w:rPr>
                <w:sz w:val="20"/>
                <w:szCs w:val="20"/>
              </w:rPr>
            </w:pPr>
            <w:r w:rsidRPr="004A4051">
              <w:rPr>
                <w:sz w:val="20"/>
              </w:rPr>
              <w:t>Opening /management/closing of a customer account</w:t>
            </w:r>
          </w:p>
        </w:tc>
        <w:tc>
          <w:tcPr>
            <w:tcW w:w="5546" w:type="dxa"/>
            <w:tcBorders>
              <w:top w:val="nil"/>
              <w:left w:val="nil"/>
              <w:bottom w:val="single" w:sz="4" w:space="0" w:color="auto"/>
              <w:right w:val="single" w:sz="4" w:space="0" w:color="auto"/>
            </w:tcBorders>
            <w:shd w:val="clear" w:color="auto" w:fill="auto"/>
            <w:vAlign w:val="center"/>
            <w:hideMark/>
          </w:tcPr>
          <w:p w14:paraId="69028B04" w14:textId="77777777" w:rsidR="00307360" w:rsidRPr="004A4051" w:rsidRDefault="00307360" w:rsidP="00203149">
            <w:pPr>
              <w:rPr>
                <w:sz w:val="20"/>
                <w:szCs w:val="20"/>
              </w:rPr>
            </w:pPr>
            <w:r w:rsidRPr="004A4051">
              <w:rPr>
                <w:sz w:val="20"/>
              </w:rPr>
              <w:t>For free</w:t>
            </w:r>
          </w:p>
        </w:tc>
      </w:tr>
      <w:tr w:rsidR="00307360" w:rsidRPr="004A4051" w14:paraId="752D9FDF" w14:textId="77777777" w:rsidTr="00CB1A0C">
        <w:trPr>
          <w:trHeight w:val="854"/>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7C22D9EF" w14:textId="77777777" w:rsidR="00307360" w:rsidRPr="004A4051" w:rsidRDefault="00307360" w:rsidP="00203149">
            <w:pPr>
              <w:rPr>
                <w:sz w:val="20"/>
                <w:szCs w:val="20"/>
              </w:rPr>
            </w:pPr>
            <w:r w:rsidRPr="004A4051">
              <w:rPr>
                <w:sz w:val="20"/>
              </w:rPr>
              <w:t xml:space="preserve">Putting financial instruments in/withdrawal from nominee holding </w:t>
            </w:r>
          </w:p>
        </w:tc>
        <w:tc>
          <w:tcPr>
            <w:tcW w:w="5546" w:type="dxa"/>
            <w:tcBorders>
              <w:top w:val="nil"/>
              <w:left w:val="nil"/>
              <w:bottom w:val="single" w:sz="4" w:space="0" w:color="auto"/>
              <w:right w:val="single" w:sz="4" w:space="0" w:color="auto"/>
            </w:tcBorders>
            <w:shd w:val="clear" w:color="auto" w:fill="auto"/>
            <w:vAlign w:val="center"/>
            <w:hideMark/>
          </w:tcPr>
          <w:p w14:paraId="600F9983" w14:textId="77777777" w:rsidR="00307360" w:rsidRPr="004A4051" w:rsidRDefault="00307360" w:rsidP="00307360">
            <w:pPr>
              <w:numPr>
                <w:ilvl w:val="0"/>
                <w:numId w:val="21"/>
              </w:numPr>
              <w:ind w:left="227" w:hanging="227"/>
              <w:rPr>
                <w:sz w:val="20"/>
                <w:szCs w:val="20"/>
              </w:rPr>
            </w:pPr>
            <w:r w:rsidRPr="004A4051">
              <w:rPr>
                <w:sz w:val="20"/>
              </w:rPr>
              <w:t>Putting a financial instrument of any type – for free</w:t>
            </w:r>
          </w:p>
          <w:p w14:paraId="518121D0" w14:textId="77777777" w:rsidR="00307360" w:rsidRPr="004A4051" w:rsidRDefault="00307360" w:rsidP="00307360">
            <w:pPr>
              <w:numPr>
                <w:ilvl w:val="0"/>
                <w:numId w:val="21"/>
              </w:numPr>
              <w:ind w:left="227" w:hanging="227"/>
              <w:rPr>
                <w:sz w:val="20"/>
                <w:szCs w:val="20"/>
              </w:rPr>
            </w:pPr>
            <w:r w:rsidRPr="004A4051">
              <w:rPr>
                <w:sz w:val="20"/>
              </w:rPr>
              <w:t>Withdrawal of securities from (per type identified by NIN/ISIN) – 10 MCI,</w:t>
            </w:r>
          </w:p>
          <w:p w14:paraId="61FAFFA1" w14:textId="77777777" w:rsidR="00307360" w:rsidRPr="004A4051" w:rsidRDefault="00307360" w:rsidP="00307360">
            <w:pPr>
              <w:numPr>
                <w:ilvl w:val="0"/>
                <w:numId w:val="21"/>
              </w:numPr>
              <w:ind w:left="227" w:hanging="227"/>
              <w:rPr>
                <w:sz w:val="20"/>
                <w:szCs w:val="20"/>
              </w:rPr>
            </w:pPr>
            <w:r w:rsidRPr="004A4051">
              <w:rPr>
                <w:sz w:val="20"/>
              </w:rPr>
              <w:t xml:space="preserve">Withdrawal of funds (per transfer transaction) –1 MCI </w:t>
            </w:r>
          </w:p>
        </w:tc>
      </w:tr>
      <w:tr w:rsidR="00307360" w:rsidRPr="004A4051" w14:paraId="4F599536" w14:textId="77777777" w:rsidTr="00CB1A0C">
        <w:trPr>
          <w:trHeight w:val="1036"/>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725B2CCA" w14:textId="77777777" w:rsidR="00307360" w:rsidRPr="004A4051" w:rsidRDefault="00307360" w:rsidP="00203149">
            <w:pPr>
              <w:rPr>
                <w:sz w:val="20"/>
                <w:szCs w:val="20"/>
              </w:rPr>
            </w:pPr>
            <w:r w:rsidRPr="004A4051">
              <w:rPr>
                <w:sz w:val="20"/>
              </w:rPr>
              <w:t>Issue of periodic statements - on a monthly basis (statement of customer account as of the end of month, customer account history report for the reporting month and other statements as required by the laws of the RoK)</w:t>
            </w:r>
          </w:p>
        </w:tc>
        <w:tc>
          <w:tcPr>
            <w:tcW w:w="5546" w:type="dxa"/>
            <w:tcBorders>
              <w:top w:val="nil"/>
              <w:left w:val="nil"/>
              <w:bottom w:val="single" w:sz="4" w:space="0" w:color="auto"/>
              <w:right w:val="single" w:sz="4" w:space="0" w:color="auto"/>
            </w:tcBorders>
            <w:shd w:val="clear" w:color="auto" w:fill="auto"/>
            <w:vAlign w:val="center"/>
            <w:hideMark/>
          </w:tcPr>
          <w:p w14:paraId="2ED2281C" w14:textId="77777777" w:rsidR="00307360" w:rsidRPr="004A4051" w:rsidRDefault="00307360" w:rsidP="00203149">
            <w:pPr>
              <w:rPr>
                <w:sz w:val="20"/>
                <w:szCs w:val="20"/>
              </w:rPr>
            </w:pPr>
            <w:r w:rsidRPr="004A4051">
              <w:rPr>
                <w:sz w:val="20"/>
              </w:rPr>
              <w:t>For free</w:t>
            </w:r>
          </w:p>
        </w:tc>
      </w:tr>
      <w:tr w:rsidR="00307360" w:rsidRPr="004A4051" w14:paraId="2EAFEF03" w14:textId="77777777" w:rsidTr="00CB1A0C">
        <w:trPr>
          <w:trHeight w:val="793"/>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26F0D00E" w14:textId="77777777" w:rsidR="00307360" w:rsidRPr="004A4051" w:rsidRDefault="00307360" w:rsidP="00203149">
            <w:pPr>
              <w:rPr>
                <w:sz w:val="20"/>
                <w:szCs w:val="20"/>
              </w:rPr>
            </w:pPr>
            <w:r w:rsidRPr="004A4051">
              <w:rPr>
                <w:sz w:val="20"/>
              </w:rPr>
              <w:t>Conversion of a financial instrument (conversion from depositary receipts to shares, from shares to depositary receipts)</w:t>
            </w:r>
          </w:p>
        </w:tc>
        <w:tc>
          <w:tcPr>
            <w:tcW w:w="5546" w:type="dxa"/>
            <w:tcBorders>
              <w:top w:val="nil"/>
              <w:left w:val="nil"/>
              <w:bottom w:val="single" w:sz="4" w:space="0" w:color="auto"/>
              <w:right w:val="single" w:sz="4" w:space="0" w:color="auto"/>
            </w:tcBorders>
            <w:shd w:val="clear" w:color="auto" w:fill="auto"/>
            <w:vAlign w:val="center"/>
            <w:hideMark/>
          </w:tcPr>
          <w:p w14:paraId="7F6A5E48" w14:textId="77777777" w:rsidR="00307360" w:rsidRPr="004A4051" w:rsidRDefault="00307360" w:rsidP="00203149">
            <w:pPr>
              <w:rPr>
                <w:sz w:val="20"/>
                <w:szCs w:val="20"/>
              </w:rPr>
            </w:pPr>
            <w:r w:rsidRPr="004A4051">
              <w:rPr>
                <w:sz w:val="20"/>
              </w:rPr>
              <w:t>1.5 Tenge per depositary receipt, at least 8 MCI</w:t>
            </w:r>
          </w:p>
        </w:tc>
      </w:tr>
      <w:tr w:rsidR="00307360" w:rsidRPr="004A4051" w14:paraId="522193A3" w14:textId="77777777" w:rsidTr="00CB1A0C">
        <w:trPr>
          <w:trHeight w:val="421"/>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2E710D7F" w14:textId="77777777" w:rsidR="00307360" w:rsidRPr="004A4051" w:rsidRDefault="00307360" w:rsidP="00203149">
            <w:pPr>
              <w:rPr>
                <w:sz w:val="20"/>
                <w:szCs w:val="20"/>
              </w:rPr>
            </w:pPr>
            <w:r w:rsidRPr="004A4051">
              <w:rPr>
                <w:sz w:val="20"/>
              </w:rPr>
              <w:t>Registration of an encumbrance/pledge</w:t>
            </w:r>
          </w:p>
        </w:tc>
        <w:tc>
          <w:tcPr>
            <w:tcW w:w="5546" w:type="dxa"/>
            <w:tcBorders>
              <w:top w:val="nil"/>
              <w:left w:val="nil"/>
              <w:bottom w:val="single" w:sz="4" w:space="0" w:color="auto"/>
              <w:right w:val="single" w:sz="4" w:space="0" w:color="auto"/>
            </w:tcBorders>
            <w:shd w:val="clear" w:color="auto" w:fill="auto"/>
            <w:vAlign w:val="center"/>
            <w:hideMark/>
          </w:tcPr>
          <w:p w14:paraId="421F9EF2" w14:textId="77777777" w:rsidR="00307360" w:rsidRPr="004A4051" w:rsidRDefault="00307360" w:rsidP="00203149">
            <w:pPr>
              <w:rPr>
                <w:sz w:val="20"/>
                <w:szCs w:val="20"/>
              </w:rPr>
            </w:pPr>
            <w:r w:rsidRPr="004A4051">
              <w:rPr>
                <w:sz w:val="20"/>
              </w:rPr>
              <w:t>0.2% of the transaction amount, at least 50 MCI</w:t>
            </w:r>
          </w:p>
        </w:tc>
      </w:tr>
      <w:tr w:rsidR="00307360" w:rsidRPr="004A4051" w14:paraId="7F09016D" w14:textId="77777777" w:rsidTr="00CB1A0C">
        <w:trPr>
          <w:trHeight w:val="602"/>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6D29B95E" w14:textId="77777777" w:rsidR="00307360" w:rsidRPr="004A4051" w:rsidRDefault="00307360" w:rsidP="00203149">
            <w:pPr>
              <w:rPr>
                <w:sz w:val="20"/>
                <w:szCs w:val="20"/>
              </w:rPr>
            </w:pPr>
            <w:r w:rsidRPr="004A4051">
              <w:rPr>
                <w:sz w:val="20"/>
              </w:rPr>
              <w:t>Dematerialization of a financial instrument</w:t>
            </w:r>
          </w:p>
        </w:tc>
        <w:tc>
          <w:tcPr>
            <w:tcW w:w="5546" w:type="dxa"/>
            <w:tcBorders>
              <w:top w:val="nil"/>
              <w:left w:val="nil"/>
              <w:bottom w:val="single" w:sz="4" w:space="0" w:color="auto"/>
              <w:right w:val="single" w:sz="4" w:space="0" w:color="auto"/>
            </w:tcBorders>
            <w:shd w:val="clear" w:color="auto" w:fill="auto"/>
            <w:vAlign w:val="center"/>
            <w:hideMark/>
          </w:tcPr>
          <w:p w14:paraId="74B92D3A" w14:textId="77777777" w:rsidR="00307360" w:rsidRPr="004A4051" w:rsidRDefault="00307360" w:rsidP="00203149">
            <w:pPr>
              <w:rPr>
                <w:sz w:val="20"/>
                <w:szCs w:val="20"/>
              </w:rPr>
            </w:pPr>
            <w:r w:rsidRPr="004A4051">
              <w:rPr>
                <w:sz w:val="20"/>
              </w:rPr>
              <w:t>0.02% of the financial instrument’s market value, at least 50 MCI</w:t>
            </w:r>
          </w:p>
        </w:tc>
      </w:tr>
      <w:tr w:rsidR="00307360" w:rsidRPr="004A4051" w14:paraId="0A2F70CE" w14:textId="77777777" w:rsidTr="00CB1A0C">
        <w:trPr>
          <w:trHeight w:val="664"/>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1788C071" w14:textId="77777777" w:rsidR="00307360" w:rsidRPr="004A4051" w:rsidRDefault="00307360" w:rsidP="00203149">
            <w:pPr>
              <w:rPr>
                <w:sz w:val="20"/>
                <w:szCs w:val="20"/>
              </w:rPr>
            </w:pPr>
            <w:r w:rsidRPr="004A4051">
              <w:rPr>
                <w:sz w:val="20"/>
              </w:rPr>
              <w:t>Proxy voting on corporate actions</w:t>
            </w:r>
          </w:p>
        </w:tc>
        <w:tc>
          <w:tcPr>
            <w:tcW w:w="5546" w:type="dxa"/>
            <w:tcBorders>
              <w:top w:val="nil"/>
              <w:left w:val="nil"/>
              <w:bottom w:val="single" w:sz="4" w:space="0" w:color="auto"/>
              <w:right w:val="single" w:sz="4" w:space="0" w:color="auto"/>
            </w:tcBorders>
            <w:shd w:val="clear" w:color="auto" w:fill="auto"/>
            <w:vAlign w:val="center"/>
            <w:hideMark/>
          </w:tcPr>
          <w:p w14:paraId="744B5CAE" w14:textId="77777777" w:rsidR="00307360" w:rsidRPr="004A4051" w:rsidRDefault="00307360" w:rsidP="00203149">
            <w:pPr>
              <w:rPr>
                <w:sz w:val="20"/>
                <w:szCs w:val="20"/>
              </w:rPr>
            </w:pPr>
            <w:r w:rsidRPr="004A4051">
              <w:rPr>
                <w:sz w:val="20"/>
              </w:rPr>
              <w:t>5 MCI</w:t>
            </w:r>
          </w:p>
        </w:tc>
      </w:tr>
      <w:tr w:rsidR="00307360" w:rsidRPr="004A4051" w14:paraId="08A4306D" w14:textId="77777777" w:rsidTr="00CB1A0C">
        <w:trPr>
          <w:trHeight w:val="423"/>
        </w:trPr>
        <w:tc>
          <w:tcPr>
            <w:tcW w:w="9947" w:type="dxa"/>
            <w:gridSpan w:val="2"/>
            <w:tcBorders>
              <w:top w:val="nil"/>
              <w:left w:val="single" w:sz="8" w:space="0" w:color="auto"/>
              <w:bottom w:val="single" w:sz="4" w:space="0" w:color="auto"/>
              <w:right w:val="single" w:sz="4" w:space="0" w:color="auto"/>
            </w:tcBorders>
            <w:shd w:val="clear" w:color="auto" w:fill="0070C0"/>
            <w:vAlign w:val="center"/>
          </w:tcPr>
          <w:p w14:paraId="59075066" w14:textId="77777777" w:rsidR="00307360" w:rsidRPr="004A4051" w:rsidRDefault="00307360" w:rsidP="00203149">
            <w:pPr>
              <w:jc w:val="center"/>
              <w:rPr>
                <w:sz w:val="20"/>
                <w:szCs w:val="20"/>
              </w:rPr>
            </w:pPr>
            <w:r w:rsidRPr="004A4051">
              <w:rPr>
                <w:b/>
                <w:color w:val="FFFFFF"/>
                <w:sz w:val="20"/>
              </w:rPr>
              <w:t>Brokerage services</w:t>
            </w:r>
          </w:p>
        </w:tc>
      </w:tr>
      <w:tr w:rsidR="00307360" w:rsidRPr="004A4051" w14:paraId="0B0DCB63" w14:textId="77777777" w:rsidTr="00CB1A0C">
        <w:trPr>
          <w:trHeight w:val="862"/>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1DE27122" w14:textId="77777777" w:rsidR="00307360" w:rsidRPr="004A4051" w:rsidRDefault="00307360" w:rsidP="00203149">
            <w:pPr>
              <w:rPr>
                <w:sz w:val="20"/>
                <w:szCs w:val="20"/>
              </w:rPr>
            </w:pPr>
            <w:r w:rsidRPr="004A4051">
              <w:rPr>
                <w:sz w:val="20"/>
              </w:rPr>
              <w:t>Purchase/sale of financial instruments through the Kazakhstan Stock Exchange/AIFC Exchange - depending on the transaction amount</w:t>
            </w:r>
          </w:p>
        </w:tc>
        <w:tc>
          <w:tcPr>
            <w:tcW w:w="5546" w:type="dxa"/>
            <w:tcBorders>
              <w:top w:val="nil"/>
              <w:left w:val="nil"/>
              <w:bottom w:val="single" w:sz="4" w:space="0" w:color="auto"/>
              <w:right w:val="single" w:sz="4" w:space="0" w:color="auto"/>
            </w:tcBorders>
            <w:shd w:val="clear" w:color="auto" w:fill="auto"/>
            <w:vAlign w:val="center"/>
            <w:hideMark/>
          </w:tcPr>
          <w:p w14:paraId="131AED49" w14:textId="77777777" w:rsidR="00307360" w:rsidRPr="004A4051" w:rsidRDefault="00307360" w:rsidP="00307360">
            <w:pPr>
              <w:numPr>
                <w:ilvl w:val="0"/>
                <w:numId w:val="21"/>
              </w:numPr>
              <w:ind w:left="227" w:hanging="168"/>
              <w:rPr>
                <w:sz w:val="20"/>
                <w:szCs w:val="20"/>
              </w:rPr>
            </w:pPr>
            <w:r w:rsidRPr="004A4051">
              <w:rPr>
                <w:sz w:val="20"/>
              </w:rPr>
              <w:t>0.10%, at least 3 MCI</w:t>
            </w:r>
          </w:p>
        </w:tc>
      </w:tr>
      <w:tr w:rsidR="00307360" w:rsidRPr="004A4051" w14:paraId="30E35F31" w14:textId="77777777" w:rsidTr="00CB1A0C">
        <w:trPr>
          <w:trHeight w:val="947"/>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2B403B7B" w14:textId="77777777" w:rsidR="00307360" w:rsidRPr="004A4051" w:rsidRDefault="00307360" w:rsidP="00203149">
            <w:pPr>
              <w:rPr>
                <w:sz w:val="20"/>
                <w:szCs w:val="20"/>
              </w:rPr>
            </w:pPr>
            <w:r w:rsidRPr="004A4051">
              <w:rPr>
                <w:sz w:val="20"/>
              </w:rPr>
              <w:t>Purchase/sale of financial instruments in the over-the-counter/international market - depending on the transaction amount</w:t>
            </w:r>
          </w:p>
        </w:tc>
        <w:tc>
          <w:tcPr>
            <w:tcW w:w="5546" w:type="dxa"/>
            <w:tcBorders>
              <w:top w:val="nil"/>
              <w:left w:val="nil"/>
              <w:bottom w:val="single" w:sz="4" w:space="0" w:color="auto"/>
              <w:right w:val="single" w:sz="4" w:space="0" w:color="auto"/>
            </w:tcBorders>
            <w:shd w:val="clear" w:color="auto" w:fill="auto"/>
            <w:vAlign w:val="center"/>
            <w:hideMark/>
          </w:tcPr>
          <w:p w14:paraId="5A369F18" w14:textId="670BC48B" w:rsidR="00307360" w:rsidRPr="004A4051" w:rsidRDefault="00307360" w:rsidP="00307360">
            <w:pPr>
              <w:numPr>
                <w:ilvl w:val="0"/>
                <w:numId w:val="21"/>
              </w:numPr>
              <w:ind w:left="185" w:hanging="142"/>
              <w:rPr>
                <w:sz w:val="20"/>
                <w:szCs w:val="20"/>
              </w:rPr>
            </w:pPr>
            <w:r w:rsidRPr="004A4051">
              <w:rPr>
                <w:sz w:val="20"/>
              </w:rPr>
              <w:t>below 500 million Tenge – 0.25%, at least</w:t>
            </w:r>
            <w:r w:rsidR="004A4051">
              <w:rPr>
                <w:sz w:val="20"/>
              </w:rPr>
              <w:t xml:space="preserve"> </w:t>
            </w:r>
            <w:r w:rsidRPr="004A4051">
              <w:rPr>
                <w:sz w:val="20"/>
              </w:rPr>
              <w:t>7 MCI</w:t>
            </w:r>
          </w:p>
          <w:p w14:paraId="7C824B82" w14:textId="77777777" w:rsidR="00307360" w:rsidRPr="004A4051" w:rsidRDefault="00307360" w:rsidP="00307360">
            <w:pPr>
              <w:numPr>
                <w:ilvl w:val="0"/>
                <w:numId w:val="21"/>
              </w:numPr>
              <w:ind w:left="185" w:hanging="142"/>
              <w:rPr>
                <w:sz w:val="20"/>
                <w:szCs w:val="20"/>
              </w:rPr>
            </w:pPr>
            <w:r w:rsidRPr="004A4051">
              <w:rPr>
                <w:sz w:val="20"/>
              </w:rPr>
              <w:t>from 500 million Tenge to 1 billion Tenge – 0.15%,</w:t>
            </w:r>
          </w:p>
          <w:p w14:paraId="2D97BABB" w14:textId="77777777" w:rsidR="00307360" w:rsidRPr="004A4051" w:rsidRDefault="00307360" w:rsidP="00307360">
            <w:pPr>
              <w:numPr>
                <w:ilvl w:val="0"/>
                <w:numId w:val="21"/>
              </w:numPr>
              <w:ind w:left="185" w:hanging="142"/>
              <w:rPr>
                <w:sz w:val="20"/>
                <w:szCs w:val="20"/>
              </w:rPr>
            </w:pPr>
            <w:r w:rsidRPr="004A4051">
              <w:rPr>
                <w:sz w:val="20"/>
              </w:rPr>
              <w:t>over 1 billion Tenge – 0.1%</w:t>
            </w:r>
          </w:p>
        </w:tc>
      </w:tr>
      <w:tr w:rsidR="00307360" w:rsidRPr="004A4051" w14:paraId="02EBC417" w14:textId="77777777" w:rsidTr="00CB1A0C">
        <w:trPr>
          <w:trHeight w:val="604"/>
        </w:trPr>
        <w:tc>
          <w:tcPr>
            <w:tcW w:w="44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C7AAAD" w14:textId="77777777" w:rsidR="00307360" w:rsidRPr="004A4051" w:rsidRDefault="00307360" w:rsidP="00203149">
            <w:pPr>
              <w:spacing w:before="120" w:after="120"/>
              <w:rPr>
                <w:sz w:val="20"/>
                <w:szCs w:val="20"/>
              </w:rPr>
            </w:pPr>
            <w:r w:rsidRPr="004A4051">
              <w:rPr>
                <w:sz w:val="20"/>
              </w:rPr>
              <w:t>REPO transactions</w:t>
            </w:r>
          </w:p>
          <w:p w14:paraId="0FEB7A74" w14:textId="77777777" w:rsidR="00307360" w:rsidRPr="004A4051" w:rsidRDefault="00307360" w:rsidP="00307360">
            <w:pPr>
              <w:numPr>
                <w:ilvl w:val="0"/>
                <w:numId w:val="22"/>
              </w:numPr>
              <w:spacing w:after="200"/>
              <w:ind w:left="227" w:hanging="227"/>
              <w:rPr>
                <w:sz w:val="20"/>
                <w:szCs w:val="20"/>
              </w:rPr>
            </w:pPr>
            <w:r w:rsidRPr="004A4051">
              <w:rPr>
                <w:sz w:val="20"/>
              </w:rPr>
              <w:t>in case of a reverse REPO operation (placement of funds) – as a percentage of the customer’s income;</w:t>
            </w:r>
          </w:p>
          <w:p w14:paraId="57C5722E" w14:textId="77777777" w:rsidR="00307360" w:rsidRPr="004A4051" w:rsidRDefault="00307360" w:rsidP="00307360">
            <w:pPr>
              <w:numPr>
                <w:ilvl w:val="0"/>
                <w:numId w:val="22"/>
              </w:numPr>
              <w:spacing w:after="200"/>
              <w:ind w:left="227" w:hanging="227"/>
              <w:rPr>
                <w:sz w:val="20"/>
                <w:szCs w:val="20"/>
              </w:rPr>
            </w:pPr>
            <w:r w:rsidRPr="004A4051">
              <w:rPr>
                <w:sz w:val="20"/>
              </w:rPr>
              <w:t>in case of a REPO operation (raising funds) – as a percentage of the difference between the closing and opening volumes</w:t>
            </w:r>
          </w:p>
        </w:tc>
        <w:tc>
          <w:tcPr>
            <w:tcW w:w="5546" w:type="dxa"/>
            <w:tcBorders>
              <w:top w:val="single" w:sz="8" w:space="0" w:color="auto"/>
              <w:left w:val="nil"/>
              <w:bottom w:val="single" w:sz="4" w:space="0" w:color="auto"/>
              <w:right w:val="single" w:sz="4" w:space="0" w:color="auto"/>
            </w:tcBorders>
            <w:shd w:val="clear" w:color="auto" w:fill="auto"/>
            <w:vAlign w:val="center"/>
            <w:hideMark/>
          </w:tcPr>
          <w:p w14:paraId="4CBA37D6" w14:textId="72301429" w:rsidR="00307360" w:rsidRPr="00222C03" w:rsidRDefault="00307360" w:rsidP="00203149">
            <w:pPr>
              <w:rPr>
                <w:sz w:val="20"/>
                <w:szCs w:val="20"/>
              </w:rPr>
            </w:pPr>
            <w:r w:rsidRPr="004A4051">
              <w:rPr>
                <w:rFonts w:ascii="Segoe UI Symbol" w:hAnsi="Segoe UI Symbol"/>
                <w:sz w:val="20"/>
              </w:rPr>
              <w:t xml:space="preserve">◾ </w:t>
            </w:r>
            <w:r w:rsidRPr="004A4051">
              <w:rPr>
                <w:sz w:val="20"/>
              </w:rPr>
              <w:t>0.5% of the</w:t>
            </w:r>
            <w:r w:rsidR="008554EE">
              <w:rPr>
                <w:sz w:val="20"/>
              </w:rPr>
              <w:t xml:space="preserve"> amount </w:t>
            </w:r>
            <w:r w:rsidR="00675A34">
              <w:rPr>
                <w:sz w:val="20"/>
              </w:rPr>
              <w:t xml:space="preserve">of income </w:t>
            </w:r>
            <w:r w:rsidR="00141149">
              <w:rPr>
                <w:sz w:val="20"/>
              </w:rPr>
              <w:t xml:space="preserve">within one client </w:t>
            </w:r>
            <w:r w:rsidR="00222C03">
              <w:rPr>
                <w:sz w:val="20"/>
              </w:rPr>
              <w:t>order</w:t>
            </w:r>
            <w:r w:rsidRPr="004A4051">
              <w:rPr>
                <w:sz w:val="20"/>
              </w:rPr>
              <w:t xml:space="preserve">, at least 2 MCI per </w:t>
            </w:r>
            <w:r w:rsidR="00222C03">
              <w:rPr>
                <w:sz w:val="20"/>
              </w:rPr>
              <w:t>order</w:t>
            </w:r>
          </w:p>
          <w:p w14:paraId="1EFCE084" w14:textId="77777777" w:rsidR="00307360" w:rsidRPr="004A4051" w:rsidRDefault="00307360" w:rsidP="00203149">
            <w:pPr>
              <w:rPr>
                <w:sz w:val="20"/>
                <w:szCs w:val="20"/>
              </w:rPr>
            </w:pPr>
          </w:p>
          <w:p w14:paraId="663DDE46" w14:textId="77777777" w:rsidR="00307360" w:rsidRPr="004A4051" w:rsidRDefault="00307360" w:rsidP="00203149">
            <w:pPr>
              <w:rPr>
                <w:rFonts w:asciiTheme="minorHAnsi" w:hAnsiTheme="minorHAnsi"/>
                <w:sz w:val="20"/>
                <w:szCs w:val="20"/>
              </w:rPr>
            </w:pPr>
          </w:p>
          <w:p w14:paraId="6E8517B7" w14:textId="07CD0F21" w:rsidR="00307360" w:rsidRPr="004A4051" w:rsidRDefault="00307360" w:rsidP="00203149">
            <w:pPr>
              <w:rPr>
                <w:sz w:val="20"/>
                <w:szCs w:val="20"/>
              </w:rPr>
            </w:pPr>
            <w:r w:rsidRPr="004A4051">
              <w:rPr>
                <w:rFonts w:ascii="Segoe UI Symbol" w:hAnsi="Segoe UI Symbol"/>
                <w:sz w:val="20"/>
              </w:rPr>
              <w:t>◾</w:t>
            </w:r>
            <w:r w:rsidRPr="004A4051">
              <w:rPr>
                <w:sz w:val="20"/>
              </w:rPr>
              <w:t xml:space="preserve">1% </w:t>
            </w:r>
            <w:r w:rsidR="00141149" w:rsidRPr="004A4051">
              <w:rPr>
                <w:sz w:val="20"/>
              </w:rPr>
              <w:t>of the</w:t>
            </w:r>
            <w:r w:rsidR="00141149">
              <w:rPr>
                <w:sz w:val="20"/>
              </w:rPr>
              <w:t xml:space="preserve"> amount of income within one client order</w:t>
            </w:r>
            <w:r w:rsidR="00141149" w:rsidRPr="004A4051">
              <w:rPr>
                <w:sz w:val="20"/>
              </w:rPr>
              <w:t xml:space="preserve">, </w:t>
            </w:r>
            <w:r w:rsidRPr="004A4051">
              <w:rPr>
                <w:sz w:val="20"/>
              </w:rPr>
              <w:t xml:space="preserve">at least 3 MCI per </w:t>
            </w:r>
            <w:r w:rsidR="00222C03">
              <w:rPr>
                <w:sz w:val="20"/>
              </w:rPr>
              <w:t>order</w:t>
            </w:r>
          </w:p>
        </w:tc>
      </w:tr>
      <w:tr w:rsidR="00307360" w:rsidRPr="004A4051" w14:paraId="31FD512E" w14:textId="77777777" w:rsidTr="00CB1A0C">
        <w:trPr>
          <w:trHeight w:val="331"/>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29CE5C88" w14:textId="77777777" w:rsidR="00307360" w:rsidRPr="004A4051" w:rsidRDefault="00307360" w:rsidP="00203149">
            <w:pPr>
              <w:spacing w:before="120" w:after="120"/>
              <w:rPr>
                <w:sz w:val="20"/>
                <w:szCs w:val="20"/>
              </w:rPr>
            </w:pPr>
            <w:r w:rsidRPr="004A4051">
              <w:rPr>
                <w:sz w:val="20"/>
              </w:rPr>
              <w:t>Currency conversion at KASE</w:t>
            </w:r>
          </w:p>
        </w:tc>
        <w:tc>
          <w:tcPr>
            <w:tcW w:w="5546" w:type="dxa"/>
            <w:tcBorders>
              <w:top w:val="single" w:sz="4" w:space="0" w:color="auto"/>
              <w:left w:val="nil"/>
              <w:bottom w:val="single" w:sz="4" w:space="0" w:color="auto"/>
              <w:right w:val="single" w:sz="4" w:space="0" w:color="auto"/>
            </w:tcBorders>
            <w:shd w:val="clear" w:color="auto" w:fill="auto"/>
            <w:vAlign w:val="center"/>
          </w:tcPr>
          <w:p w14:paraId="6CC08D65" w14:textId="77777777" w:rsidR="00307360" w:rsidRPr="004A4051" w:rsidRDefault="00307360" w:rsidP="00203149">
            <w:pPr>
              <w:rPr>
                <w:sz w:val="20"/>
                <w:szCs w:val="20"/>
              </w:rPr>
            </w:pPr>
            <w:r w:rsidRPr="004A4051">
              <w:rPr>
                <w:sz w:val="20"/>
              </w:rPr>
              <w:t xml:space="preserve"> 0.05% of the transaction amount, at least 1 MCI </w:t>
            </w:r>
          </w:p>
        </w:tc>
      </w:tr>
    </w:tbl>
    <w:p w14:paraId="58CD3B84" w14:textId="77777777" w:rsidR="00775D37" w:rsidRDefault="00775D37" w:rsidP="00CB1A0C">
      <w:pPr>
        <w:tabs>
          <w:tab w:val="left" w:pos="142"/>
          <w:tab w:val="left" w:pos="284"/>
          <w:tab w:val="left" w:pos="426"/>
        </w:tabs>
        <w:spacing w:before="120" w:after="60"/>
        <w:ind w:left="-142"/>
        <w:rPr>
          <w:b/>
          <w:bCs/>
          <w:i/>
          <w:iCs/>
          <w:sz w:val="22"/>
          <w:szCs w:val="22"/>
          <w:u w:val="single"/>
        </w:rPr>
      </w:pPr>
    </w:p>
    <w:p w14:paraId="1CCAD07C" w14:textId="77777777" w:rsidR="00AA07D3" w:rsidRPr="004A4051" w:rsidRDefault="00AA07D3" w:rsidP="00CB1A0C">
      <w:pPr>
        <w:tabs>
          <w:tab w:val="left" w:pos="142"/>
          <w:tab w:val="left" w:pos="284"/>
          <w:tab w:val="left" w:pos="426"/>
        </w:tabs>
        <w:spacing w:before="120" w:after="60"/>
        <w:ind w:left="-142"/>
        <w:rPr>
          <w:b/>
          <w:bCs/>
          <w:i/>
          <w:iCs/>
          <w:sz w:val="22"/>
          <w:szCs w:val="22"/>
          <w:u w:val="single"/>
        </w:rPr>
      </w:pPr>
    </w:p>
    <w:p w14:paraId="420747B0" w14:textId="3C28BA7D" w:rsidR="00061825" w:rsidRPr="00061825" w:rsidRDefault="00307360" w:rsidP="00061825">
      <w:pPr>
        <w:tabs>
          <w:tab w:val="left" w:pos="142"/>
          <w:tab w:val="left" w:pos="284"/>
          <w:tab w:val="left" w:pos="426"/>
        </w:tabs>
        <w:spacing w:before="120" w:after="60"/>
        <w:ind w:left="-142"/>
        <w:rPr>
          <w:b/>
          <w:i/>
          <w:sz w:val="22"/>
          <w:u w:val="single"/>
          <w:lang w:val="kk-KZ"/>
        </w:rPr>
      </w:pPr>
      <w:r w:rsidRPr="004A4051">
        <w:rPr>
          <w:b/>
          <w:i/>
          <w:sz w:val="22"/>
          <w:u w:val="single"/>
        </w:rPr>
        <w:t>Notes</w:t>
      </w:r>
    </w:p>
    <w:p w14:paraId="613B54A8" w14:textId="7F496B8C" w:rsidR="00307360" w:rsidRPr="004A4051" w:rsidRDefault="00213726" w:rsidP="009E2BB6">
      <w:pPr>
        <w:pStyle w:val="a6"/>
        <w:numPr>
          <w:ilvl w:val="0"/>
          <w:numId w:val="23"/>
        </w:numPr>
        <w:tabs>
          <w:tab w:val="left" w:pos="142"/>
          <w:tab w:val="left" w:pos="284"/>
          <w:tab w:val="left" w:pos="426"/>
        </w:tabs>
        <w:spacing w:before="80" w:after="80"/>
        <w:ind w:left="-142" w:hanging="425"/>
        <w:contextualSpacing w:val="0"/>
        <w:jc w:val="both"/>
        <w:rPr>
          <w:b/>
          <w:bCs/>
          <w:sz w:val="22"/>
          <w:szCs w:val="22"/>
        </w:rPr>
      </w:pPr>
      <w:r w:rsidRPr="00B906E8">
        <w:rPr>
          <w:sz w:val="22"/>
        </w:rPr>
        <w:t>Tariff calculations use the monthly calculation indicator (MCI), established by the Law of the Republi</w:t>
      </w:r>
      <w:r>
        <w:rPr>
          <w:sz w:val="22"/>
        </w:rPr>
        <w:t xml:space="preserve"> </w:t>
      </w:r>
      <w:r w:rsidRPr="00B906E8">
        <w:rPr>
          <w:sz w:val="22"/>
        </w:rPr>
        <w:t>of Kazakhstan “On the Republican Budget” for the corresponding calendar year.</w:t>
      </w:r>
    </w:p>
    <w:p w14:paraId="3C2BA818" w14:textId="77777777" w:rsidR="00307360" w:rsidRPr="004A4051" w:rsidRDefault="00307360" w:rsidP="009E2BB6">
      <w:pPr>
        <w:pStyle w:val="a6"/>
        <w:numPr>
          <w:ilvl w:val="0"/>
          <w:numId w:val="23"/>
        </w:numPr>
        <w:tabs>
          <w:tab w:val="left" w:pos="142"/>
          <w:tab w:val="left" w:pos="284"/>
          <w:tab w:val="left" w:pos="426"/>
        </w:tabs>
        <w:spacing w:before="80" w:after="80"/>
        <w:ind w:left="-142" w:hanging="425"/>
        <w:contextualSpacing w:val="0"/>
        <w:jc w:val="both"/>
        <w:rPr>
          <w:bCs/>
          <w:sz w:val="22"/>
          <w:szCs w:val="22"/>
        </w:rPr>
      </w:pPr>
      <w:r w:rsidRPr="004A4051">
        <w:rPr>
          <w:sz w:val="22"/>
        </w:rPr>
        <w:t xml:space="preserve">The above rates and tariffs are exclusive of the rates and tariffs of any third parties, i.e. other professional market participants. The tariffs of Kazakhstan Stock Exchange JSC, Central Securities Depository JSC, custodian banks, second-tier banks, AIFC Exchange, AIFC Depository, and other professional market participants shall be paid by the Customer separately according to invoices issued by the Company stating such reimbursable expenses, other than any fees of the international intermediary brokers, stamp duties of the foreign stock exchanges and other commissions included in the transactions’ amount. Any duties, taxes and fees that shall be withheld from the transactions in compliance with the legislation of the country where such transactions are effected, shall be payable by the Client and will not be deemed an obligation of the Company. </w:t>
      </w:r>
    </w:p>
    <w:p w14:paraId="71DC6C3E" w14:textId="774265D9" w:rsidR="00307360" w:rsidRPr="00FD44A9" w:rsidRDefault="00307360" w:rsidP="009E2BB6">
      <w:pPr>
        <w:numPr>
          <w:ilvl w:val="0"/>
          <w:numId w:val="23"/>
        </w:numPr>
        <w:tabs>
          <w:tab w:val="left" w:pos="142"/>
          <w:tab w:val="left" w:pos="284"/>
          <w:tab w:val="left" w:pos="426"/>
        </w:tabs>
        <w:spacing w:before="80" w:after="80"/>
        <w:ind w:left="-142" w:hanging="425"/>
        <w:jc w:val="both"/>
        <w:rPr>
          <w:bCs/>
          <w:sz w:val="22"/>
          <w:szCs w:val="22"/>
        </w:rPr>
      </w:pPr>
      <w:r w:rsidRPr="004A4051">
        <w:rPr>
          <w:sz w:val="22"/>
        </w:rPr>
        <w:t>The Company's remuneration for transactions shall be calculated depending on the total volume of that part of the customer’s order that is fulfilled.  So, if two or more transactions are concluded under a single order, the fees shall be calculated based on the total amount of the transactions concluded under such order.</w:t>
      </w:r>
    </w:p>
    <w:p w14:paraId="30318A53" w14:textId="77777777" w:rsidR="00307360" w:rsidRPr="004A4051" w:rsidRDefault="00307360" w:rsidP="009E2BB6">
      <w:pPr>
        <w:numPr>
          <w:ilvl w:val="0"/>
          <w:numId w:val="23"/>
        </w:numPr>
        <w:tabs>
          <w:tab w:val="left" w:pos="142"/>
          <w:tab w:val="left" w:pos="284"/>
          <w:tab w:val="left" w:pos="426"/>
        </w:tabs>
        <w:spacing w:before="80" w:after="80"/>
        <w:ind w:left="-142" w:hanging="425"/>
        <w:jc w:val="both"/>
        <w:rPr>
          <w:bCs/>
          <w:sz w:val="22"/>
          <w:szCs w:val="22"/>
        </w:rPr>
      </w:pPr>
      <w:r w:rsidRPr="004A4051">
        <w:rPr>
          <w:sz w:val="22"/>
        </w:rPr>
        <w:t xml:space="preserve">The tariffs shall not be applicable to any transactions conducted because of the Company’s underwriting activities. </w:t>
      </w:r>
    </w:p>
    <w:p w14:paraId="7794591B" w14:textId="77777777" w:rsidR="00307360" w:rsidRPr="004A4051" w:rsidRDefault="00307360" w:rsidP="009E2BB6">
      <w:pPr>
        <w:numPr>
          <w:ilvl w:val="0"/>
          <w:numId w:val="23"/>
        </w:numPr>
        <w:tabs>
          <w:tab w:val="left" w:pos="142"/>
          <w:tab w:val="left" w:pos="284"/>
          <w:tab w:val="left" w:pos="426"/>
        </w:tabs>
        <w:spacing w:before="80" w:after="80"/>
        <w:ind w:left="-142" w:hanging="425"/>
        <w:jc w:val="both"/>
        <w:rPr>
          <w:bCs/>
          <w:sz w:val="22"/>
          <w:szCs w:val="22"/>
        </w:rPr>
      </w:pPr>
      <w:r w:rsidRPr="004A4051">
        <w:rPr>
          <w:sz w:val="22"/>
        </w:rPr>
        <w:t>If a customer is rendered the financial consultant and/or underwriter services by the Company and for this purpose receives the services of the Company as a broker, according to an agreement with such customer, brokerage fees may be included in the total cost of the services received from the Company as specified in the financial advisor and/or underwriter service agreement.</w:t>
      </w:r>
    </w:p>
    <w:p w14:paraId="112B618A" w14:textId="77777777" w:rsidR="00307360" w:rsidRPr="004A4051" w:rsidRDefault="00307360" w:rsidP="009E2BB6">
      <w:pPr>
        <w:pStyle w:val="a6"/>
        <w:numPr>
          <w:ilvl w:val="0"/>
          <w:numId w:val="23"/>
        </w:numPr>
        <w:tabs>
          <w:tab w:val="left" w:pos="0"/>
          <w:tab w:val="left" w:pos="142"/>
          <w:tab w:val="left" w:pos="284"/>
          <w:tab w:val="left" w:pos="426"/>
        </w:tabs>
        <w:spacing w:before="80" w:after="80"/>
        <w:ind w:left="-142" w:hanging="425"/>
        <w:contextualSpacing w:val="0"/>
        <w:rPr>
          <w:b/>
          <w:sz w:val="22"/>
          <w:szCs w:val="22"/>
        </w:rPr>
      </w:pPr>
      <w:r w:rsidRPr="004A4051">
        <w:rPr>
          <w:sz w:val="22"/>
        </w:rPr>
        <w:t xml:space="preserve">The fees shall be accrued and charged from the monthly trading volume, except for any repo transactions and operations with derivatives, as well as third parties’ commissions. </w:t>
      </w:r>
    </w:p>
    <w:p w14:paraId="4849A102" w14:textId="77777777" w:rsidR="00307360" w:rsidRPr="004A4051" w:rsidRDefault="00307360" w:rsidP="009E2BB6">
      <w:pPr>
        <w:pStyle w:val="a6"/>
        <w:numPr>
          <w:ilvl w:val="0"/>
          <w:numId w:val="23"/>
        </w:numPr>
        <w:tabs>
          <w:tab w:val="left" w:pos="0"/>
          <w:tab w:val="left" w:pos="142"/>
          <w:tab w:val="left" w:pos="284"/>
          <w:tab w:val="left" w:pos="426"/>
        </w:tabs>
        <w:spacing w:before="80"/>
        <w:ind w:left="-142" w:hanging="425"/>
        <w:contextualSpacing w:val="0"/>
        <w:jc w:val="both"/>
        <w:rPr>
          <w:b/>
          <w:sz w:val="22"/>
          <w:szCs w:val="22"/>
        </w:rPr>
      </w:pPr>
      <w:r w:rsidRPr="004A4051">
        <w:rPr>
          <w:sz w:val="22"/>
        </w:rPr>
        <w:t xml:space="preserve">The customer's trading volume means the total net volume of the Customer's transactions for the purchase/sale of financial instruments (excluding the volume of any repo transactions and operations with derivatives, as well as third parties’ commissions) over a period of time.  </w:t>
      </w:r>
    </w:p>
    <w:p w14:paraId="4B9B609A" w14:textId="22D5DB6C" w:rsidR="009E2BB6" w:rsidRPr="004A4051" w:rsidRDefault="009E2BB6" w:rsidP="009E2BB6">
      <w:pPr>
        <w:tabs>
          <w:tab w:val="left" w:pos="142"/>
          <w:tab w:val="left" w:pos="284"/>
          <w:tab w:val="left" w:pos="426"/>
          <w:tab w:val="num" w:pos="567"/>
        </w:tabs>
        <w:spacing w:after="60"/>
        <w:ind w:left="-142"/>
        <w:jc w:val="both"/>
        <w:rPr>
          <w:spacing w:val="1"/>
          <w:sz w:val="22"/>
          <w:szCs w:val="22"/>
        </w:rPr>
      </w:pPr>
    </w:p>
    <w:p w14:paraId="4BB29434" w14:textId="014F9229" w:rsidR="00307360" w:rsidRPr="004A4051" w:rsidRDefault="009E2BB6" w:rsidP="009E2BB6">
      <w:pPr>
        <w:tabs>
          <w:tab w:val="left" w:pos="142"/>
          <w:tab w:val="left" w:pos="284"/>
          <w:tab w:val="left" w:pos="426"/>
          <w:tab w:val="num" w:pos="567"/>
        </w:tabs>
        <w:spacing w:after="60"/>
        <w:ind w:left="-142" w:hanging="425"/>
        <w:jc w:val="both"/>
        <w:rPr>
          <w:sz w:val="22"/>
          <w:szCs w:val="22"/>
        </w:rPr>
      </w:pPr>
      <w:r w:rsidRPr="004A4051">
        <w:rPr>
          <w:sz w:val="22"/>
        </w:rPr>
        <w:tab/>
        <w:t>The fees from the trading volume in the international market shall be accrued in Tenge at the official rate established by the National Bank of the Republic of Kazakhstan as of the last calendar day of the month the accrual relates to. The fees from transactions in the international market shall be accrued in Tenge at the official rate established by the National Bank of the Republic of Kazakhstan as of the actual transaction settlement date.</w:t>
      </w:r>
    </w:p>
    <w:p w14:paraId="1CEC7DDD" w14:textId="77777777" w:rsidR="00307360" w:rsidRPr="004A4051" w:rsidRDefault="00307360" w:rsidP="00307360">
      <w:pPr>
        <w:rPr>
          <w:sz w:val="20"/>
          <w:szCs w:val="20"/>
        </w:rPr>
      </w:pPr>
    </w:p>
    <w:p w14:paraId="65E7130F" w14:textId="77777777" w:rsidR="00307360" w:rsidRPr="004A4051" w:rsidRDefault="00307360">
      <w:pPr>
        <w:spacing w:after="160" w:line="259" w:lineRule="auto"/>
        <w:rPr>
          <w:sz w:val="22"/>
          <w:szCs w:val="22"/>
        </w:rPr>
      </w:pPr>
    </w:p>
    <w:p w14:paraId="762DBEF5" w14:textId="77777777" w:rsidR="00307360" w:rsidRPr="004A4051" w:rsidRDefault="00307360">
      <w:pPr>
        <w:spacing w:after="160" w:line="259" w:lineRule="auto"/>
      </w:pPr>
      <w:r w:rsidRPr="004A4051">
        <w:br w:type="page"/>
      </w:r>
    </w:p>
    <w:p w14:paraId="115352B0" w14:textId="75A280A2" w:rsidR="00490628" w:rsidRPr="004A4051" w:rsidRDefault="00490628" w:rsidP="00490628">
      <w:pPr>
        <w:jc w:val="right"/>
      </w:pPr>
      <w:r w:rsidRPr="004A4051">
        <w:lastRenderedPageBreak/>
        <w:t xml:space="preserve">Appendix 2 </w:t>
      </w:r>
    </w:p>
    <w:p w14:paraId="4497EC66" w14:textId="77777777" w:rsidR="00490628" w:rsidRPr="004A4051" w:rsidRDefault="00490628" w:rsidP="00490628">
      <w:pPr>
        <w:jc w:val="right"/>
      </w:pPr>
      <w:r w:rsidRPr="004A4051">
        <w:t xml:space="preserve">to minutes #4 of the Tariff Committee </w:t>
      </w:r>
    </w:p>
    <w:p w14:paraId="1354E351" w14:textId="77777777" w:rsidR="00490628" w:rsidRPr="004A4051" w:rsidRDefault="00490628" w:rsidP="00490628">
      <w:pPr>
        <w:jc w:val="right"/>
      </w:pPr>
      <w:r w:rsidRPr="004A4051">
        <w:t>of SkyBridge Invest JSC</w:t>
      </w:r>
    </w:p>
    <w:p w14:paraId="3AA1613C" w14:textId="19261549" w:rsidR="00490628" w:rsidRPr="004A4051" w:rsidRDefault="00490628" w:rsidP="00490628">
      <w:pPr>
        <w:jc w:val="right"/>
      </w:pPr>
      <w:r w:rsidRPr="004A4051">
        <w:t>dated August 23, 2023</w:t>
      </w:r>
    </w:p>
    <w:p w14:paraId="31F9092D" w14:textId="77777777" w:rsidR="002B3B0F" w:rsidRPr="004A4051" w:rsidRDefault="002B3B0F" w:rsidP="002B3B0F">
      <w:pPr>
        <w:jc w:val="right"/>
      </w:pPr>
      <w:r>
        <w:t>Effective October 3, 2023</w:t>
      </w:r>
    </w:p>
    <w:p w14:paraId="351A2DDD" w14:textId="77777777" w:rsidR="00490628" w:rsidRDefault="00490628" w:rsidP="00490628">
      <w:pPr>
        <w:jc w:val="right"/>
      </w:pPr>
    </w:p>
    <w:p w14:paraId="6DC82324" w14:textId="77777777" w:rsidR="002B3B0F" w:rsidRPr="004A4051" w:rsidRDefault="002B3B0F" w:rsidP="002B3B0F">
      <w:pPr>
        <w:ind w:right="480"/>
        <w:jc w:val="center"/>
      </w:pPr>
    </w:p>
    <w:p w14:paraId="1DFA526C" w14:textId="65B3FFB7" w:rsidR="00490628" w:rsidRPr="004A4051" w:rsidRDefault="00490628" w:rsidP="00490628">
      <w:pPr>
        <w:jc w:val="center"/>
        <w:rPr>
          <w:rFonts w:eastAsiaTheme="minorEastAsia"/>
          <w:b/>
          <w:bCs/>
          <w:sz w:val="22"/>
          <w:szCs w:val="22"/>
        </w:rPr>
      </w:pPr>
      <w:r w:rsidRPr="004A4051">
        <w:rPr>
          <w:b/>
          <w:sz w:val="22"/>
        </w:rPr>
        <w:t xml:space="preserve">SkyBridge Invest JSC’s </w:t>
      </w:r>
      <w:r w:rsidR="00F528C6" w:rsidRPr="004A4051">
        <w:rPr>
          <w:b/>
          <w:sz w:val="22"/>
        </w:rPr>
        <w:t xml:space="preserve">Brokerage </w:t>
      </w:r>
      <w:r w:rsidRPr="004A4051">
        <w:rPr>
          <w:b/>
          <w:sz w:val="22"/>
        </w:rPr>
        <w:t xml:space="preserve">and </w:t>
      </w:r>
      <w:r w:rsidR="00F528C6" w:rsidRPr="004A4051">
        <w:rPr>
          <w:b/>
          <w:sz w:val="22"/>
        </w:rPr>
        <w:t xml:space="preserve">Nominee Holding Services Tariffs Applicable </w:t>
      </w:r>
      <w:r w:rsidRPr="004A4051">
        <w:rPr>
          <w:b/>
          <w:sz w:val="22"/>
        </w:rPr>
        <w:t xml:space="preserve">to </w:t>
      </w:r>
      <w:r w:rsidR="00F528C6" w:rsidRPr="004A4051">
        <w:rPr>
          <w:b/>
          <w:sz w:val="22"/>
        </w:rPr>
        <w:t>Nonresident Legal Entities</w:t>
      </w:r>
      <w:r w:rsidRPr="004A4051">
        <w:rPr>
          <w:b/>
          <w:sz w:val="22"/>
        </w:rPr>
        <w:t>.</w:t>
      </w:r>
    </w:p>
    <w:p w14:paraId="2F7B609F" w14:textId="77777777" w:rsidR="00307360" w:rsidRPr="004A4051" w:rsidRDefault="00307360" w:rsidP="00490628">
      <w:pPr>
        <w:jc w:val="center"/>
        <w:rPr>
          <w:rFonts w:eastAsiaTheme="minorEastAsia"/>
          <w:b/>
          <w:bCs/>
          <w:sz w:val="22"/>
          <w:szCs w:val="22"/>
        </w:rPr>
      </w:pPr>
    </w:p>
    <w:tbl>
      <w:tblPr>
        <w:tblW w:w="10348" w:type="dxa"/>
        <w:tblInd w:w="-861" w:type="dxa"/>
        <w:tblLook w:val="04A0" w:firstRow="1" w:lastRow="0" w:firstColumn="1" w:lastColumn="0" w:noHBand="0" w:noVBand="1"/>
      </w:tblPr>
      <w:tblGrid>
        <w:gridCol w:w="5245"/>
        <w:gridCol w:w="5103"/>
      </w:tblGrid>
      <w:tr w:rsidR="00307360" w:rsidRPr="004A4051" w14:paraId="534DA8C7" w14:textId="77777777" w:rsidTr="00CB1A0C">
        <w:trPr>
          <w:trHeight w:val="750"/>
          <w:tblHeader/>
        </w:trPr>
        <w:tc>
          <w:tcPr>
            <w:tcW w:w="5245"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C7B2A21" w14:textId="77777777" w:rsidR="00307360" w:rsidRPr="004A4051" w:rsidRDefault="00307360" w:rsidP="00203149">
            <w:pPr>
              <w:jc w:val="center"/>
              <w:rPr>
                <w:b/>
                <w:sz w:val="20"/>
                <w:szCs w:val="20"/>
              </w:rPr>
            </w:pPr>
            <w:r w:rsidRPr="004A4051">
              <w:rPr>
                <w:b/>
                <w:sz w:val="20"/>
              </w:rPr>
              <w:t>Transaction type</w:t>
            </w:r>
          </w:p>
        </w:tc>
        <w:tc>
          <w:tcPr>
            <w:tcW w:w="5103" w:type="dxa"/>
            <w:tcBorders>
              <w:top w:val="single" w:sz="8" w:space="0" w:color="auto"/>
              <w:left w:val="nil"/>
              <w:bottom w:val="single" w:sz="4" w:space="0" w:color="auto"/>
              <w:right w:val="single" w:sz="4" w:space="0" w:color="auto"/>
            </w:tcBorders>
            <w:shd w:val="clear" w:color="000000" w:fill="BFBFBF"/>
            <w:vAlign w:val="center"/>
            <w:hideMark/>
          </w:tcPr>
          <w:p w14:paraId="5C0BFF4A" w14:textId="77777777" w:rsidR="00307360" w:rsidRPr="004A4051" w:rsidRDefault="00307360" w:rsidP="00203149">
            <w:pPr>
              <w:jc w:val="center"/>
              <w:rPr>
                <w:b/>
                <w:bCs/>
                <w:sz w:val="20"/>
                <w:szCs w:val="20"/>
              </w:rPr>
            </w:pPr>
            <w:r w:rsidRPr="004A4051">
              <w:rPr>
                <w:b/>
                <w:sz w:val="20"/>
              </w:rPr>
              <w:t xml:space="preserve">Corporate customer tariffs </w:t>
            </w:r>
          </w:p>
        </w:tc>
      </w:tr>
      <w:tr w:rsidR="00307360" w:rsidRPr="004A4051" w14:paraId="631E5967" w14:textId="77777777" w:rsidTr="00CB1A0C">
        <w:trPr>
          <w:cantSplit/>
          <w:trHeight w:val="424"/>
          <w:tblHeader/>
        </w:trPr>
        <w:tc>
          <w:tcPr>
            <w:tcW w:w="10348"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6550AD89" w14:textId="77777777" w:rsidR="00307360" w:rsidRPr="004A4051" w:rsidRDefault="00307360" w:rsidP="00203149">
            <w:pPr>
              <w:jc w:val="center"/>
              <w:rPr>
                <w:b/>
                <w:bCs/>
                <w:sz w:val="20"/>
                <w:szCs w:val="20"/>
              </w:rPr>
            </w:pPr>
            <w:r w:rsidRPr="004A4051">
              <w:rPr>
                <w:b/>
                <w:color w:val="FFFFFF"/>
                <w:sz w:val="20"/>
              </w:rPr>
              <w:t>Nominee holding services</w:t>
            </w:r>
          </w:p>
        </w:tc>
      </w:tr>
      <w:tr w:rsidR="00307360" w:rsidRPr="004A4051" w14:paraId="4DA703FC" w14:textId="77777777" w:rsidTr="00CB1A0C">
        <w:trPr>
          <w:trHeight w:val="510"/>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1E58AF31" w14:textId="77777777" w:rsidR="00307360" w:rsidRPr="004A4051" w:rsidRDefault="00307360" w:rsidP="00203149">
            <w:pPr>
              <w:rPr>
                <w:sz w:val="20"/>
                <w:szCs w:val="20"/>
              </w:rPr>
            </w:pPr>
            <w:r w:rsidRPr="004A4051">
              <w:rPr>
                <w:sz w:val="20"/>
              </w:rPr>
              <w:t>Opening /management/closing of a customer account</w:t>
            </w:r>
          </w:p>
        </w:tc>
        <w:tc>
          <w:tcPr>
            <w:tcW w:w="5103" w:type="dxa"/>
            <w:tcBorders>
              <w:top w:val="nil"/>
              <w:left w:val="nil"/>
              <w:bottom w:val="single" w:sz="4" w:space="0" w:color="auto"/>
              <w:right w:val="single" w:sz="4" w:space="0" w:color="auto"/>
            </w:tcBorders>
            <w:shd w:val="clear" w:color="auto" w:fill="auto"/>
            <w:vAlign w:val="center"/>
            <w:hideMark/>
          </w:tcPr>
          <w:p w14:paraId="4B45BE6C" w14:textId="77777777" w:rsidR="00307360" w:rsidRPr="004A4051" w:rsidRDefault="00307360" w:rsidP="00203149">
            <w:pPr>
              <w:rPr>
                <w:sz w:val="20"/>
                <w:szCs w:val="20"/>
              </w:rPr>
            </w:pPr>
            <w:r w:rsidRPr="004A4051">
              <w:rPr>
                <w:sz w:val="20"/>
              </w:rPr>
              <w:t>For free</w:t>
            </w:r>
          </w:p>
        </w:tc>
      </w:tr>
      <w:tr w:rsidR="00307360" w:rsidRPr="004A4051" w14:paraId="4FFAA674" w14:textId="77777777" w:rsidTr="00CB1A0C">
        <w:trPr>
          <w:trHeight w:val="854"/>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1B50B0B8" w14:textId="77777777" w:rsidR="00307360" w:rsidRPr="004A4051" w:rsidRDefault="00307360" w:rsidP="00203149">
            <w:pPr>
              <w:rPr>
                <w:sz w:val="20"/>
                <w:szCs w:val="20"/>
              </w:rPr>
            </w:pPr>
            <w:r w:rsidRPr="004A4051">
              <w:rPr>
                <w:sz w:val="20"/>
              </w:rPr>
              <w:t xml:space="preserve">Putting financial instruments in/withdrawal from nominee holding </w:t>
            </w:r>
          </w:p>
        </w:tc>
        <w:tc>
          <w:tcPr>
            <w:tcW w:w="5103" w:type="dxa"/>
            <w:tcBorders>
              <w:top w:val="nil"/>
              <w:left w:val="nil"/>
              <w:bottom w:val="single" w:sz="4" w:space="0" w:color="auto"/>
              <w:right w:val="single" w:sz="4" w:space="0" w:color="auto"/>
            </w:tcBorders>
            <w:shd w:val="clear" w:color="auto" w:fill="auto"/>
            <w:vAlign w:val="center"/>
            <w:hideMark/>
          </w:tcPr>
          <w:p w14:paraId="019831FA" w14:textId="77777777" w:rsidR="00307360" w:rsidRPr="004A4051" w:rsidRDefault="00307360" w:rsidP="00307360">
            <w:pPr>
              <w:numPr>
                <w:ilvl w:val="0"/>
                <w:numId w:val="21"/>
              </w:numPr>
              <w:spacing w:after="120"/>
              <w:ind w:left="227" w:hanging="227"/>
              <w:rPr>
                <w:sz w:val="20"/>
                <w:szCs w:val="20"/>
              </w:rPr>
            </w:pPr>
            <w:r w:rsidRPr="004A4051">
              <w:rPr>
                <w:sz w:val="20"/>
              </w:rPr>
              <w:t xml:space="preserve">Putting a financial instrument of any type – 0.05% of the securities’ fair market value*, at least USD 10 </w:t>
            </w:r>
          </w:p>
          <w:p w14:paraId="46C200F6" w14:textId="77777777" w:rsidR="00307360" w:rsidRPr="004A4051" w:rsidRDefault="00307360" w:rsidP="00307360">
            <w:pPr>
              <w:numPr>
                <w:ilvl w:val="0"/>
                <w:numId w:val="21"/>
              </w:numPr>
              <w:spacing w:after="120"/>
              <w:ind w:left="227" w:hanging="227"/>
              <w:rPr>
                <w:sz w:val="20"/>
                <w:szCs w:val="20"/>
              </w:rPr>
            </w:pPr>
            <w:r w:rsidRPr="004A4051">
              <w:rPr>
                <w:sz w:val="20"/>
              </w:rPr>
              <w:t xml:space="preserve">Withdrawal of a financial Instrument of any type – 0.05% of the securities’ fair market value*, at least USD 10 </w:t>
            </w:r>
          </w:p>
          <w:p w14:paraId="1BABBF9A" w14:textId="77777777" w:rsidR="00307360" w:rsidRPr="004A4051" w:rsidRDefault="00307360" w:rsidP="00307360">
            <w:pPr>
              <w:numPr>
                <w:ilvl w:val="0"/>
                <w:numId w:val="21"/>
              </w:numPr>
              <w:ind w:left="227" w:hanging="227"/>
              <w:rPr>
                <w:sz w:val="20"/>
                <w:szCs w:val="20"/>
              </w:rPr>
            </w:pPr>
            <w:r w:rsidRPr="004A4051">
              <w:rPr>
                <w:sz w:val="20"/>
              </w:rPr>
              <w:t>Withdrawal of funds (per transfer transaction) – 0.35%, at least USD 50</w:t>
            </w:r>
          </w:p>
          <w:p w14:paraId="26E23AE8" w14:textId="77777777" w:rsidR="00307360" w:rsidRPr="004A4051" w:rsidRDefault="00307360" w:rsidP="00307360">
            <w:pPr>
              <w:numPr>
                <w:ilvl w:val="0"/>
                <w:numId w:val="21"/>
              </w:numPr>
              <w:ind w:left="227" w:hanging="227"/>
              <w:rPr>
                <w:sz w:val="20"/>
                <w:szCs w:val="20"/>
              </w:rPr>
            </w:pPr>
            <w:r w:rsidRPr="004A4051">
              <w:rPr>
                <w:b/>
                <w:i/>
              </w:rPr>
              <w:t>*</w:t>
            </w:r>
            <w:r w:rsidRPr="004A4051">
              <w:rPr>
                <w:i/>
                <w:sz w:val="20"/>
              </w:rPr>
              <w:t>If no fair market value is available, a fixed rate agreed by the parties shall be applicable.</w:t>
            </w:r>
          </w:p>
        </w:tc>
      </w:tr>
      <w:tr w:rsidR="00307360" w:rsidRPr="004A4051" w14:paraId="33C37A0D" w14:textId="77777777" w:rsidTr="00CB1A0C">
        <w:trPr>
          <w:trHeight w:val="1080"/>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5DD0979D" w14:textId="77777777" w:rsidR="00307360" w:rsidRPr="004A4051" w:rsidRDefault="00307360" w:rsidP="00203149">
            <w:pPr>
              <w:rPr>
                <w:sz w:val="20"/>
                <w:szCs w:val="20"/>
              </w:rPr>
            </w:pPr>
            <w:r w:rsidRPr="004A4051">
              <w:rPr>
                <w:sz w:val="20"/>
              </w:rPr>
              <w:t>Issue of periodic statements - on a monthly basis (statement of customer account as of the end of month, customer account history report for the reporting month and other statements as required by the laws of the RoK)</w:t>
            </w:r>
          </w:p>
        </w:tc>
        <w:tc>
          <w:tcPr>
            <w:tcW w:w="5103" w:type="dxa"/>
            <w:tcBorders>
              <w:top w:val="nil"/>
              <w:left w:val="nil"/>
              <w:bottom w:val="single" w:sz="4" w:space="0" w:color="auto"/>
              <w:right w:val="single" w:sz="4" w:space="0" w:color="auto"/>
            </w:tcBorders>
            <w:shd w:val="clear" w:color="auto" w:fill="auto"/>
            <w:vAlign w:val="center"/>
            <w:hideMark/>
          </w:tcPr>
          <w:p w14:paraId="26555C52" w14:textId="77777777" w:rsidR="00307360" w:rsidRPr="004A4051" w:rsidRDefault="00307360" w:rsidP="00203149">
            <w:pPr>
              <w:rPr>
                <w:sz w:val="20"/>
                <w:szCs w:val="20"/>
              </w:rPr>
            </w:pPr>
            <w:r w:rsidRPr="004A4051">
              <w:rPr>
                <w:sz w:val="20"/>
              </w:rPr>
              <w:t>For free</w:t>
            </w:r>
          </w:p>
        </w:tc>
      </w:tr>
      <w:tr w:rsidR="00307360" w:rsidRPr="004A4051" w14:paraId="590D976C" w14:textId="77777777" w:rsidTr="00CB1A0C">
        <w:trPr>
          <w:trHeight w:val="424"/>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6D2E0A67" w14:textId="77777777" w:rsidR="00307360" w:rsidRPr="004A4051" w:rsidRDefault="00307360" w:rsidP="00203149">
            <w:pPr>
              <w:rPr>
                <w:sz w:val="20"/>
                <w:szCs w:val="20"/>
              </w:rPr>
            </w:pPr>
            <w:r w:rsidRPr="004A4051">
              <w:rPr>
                <w:sz w:val="20"/>
              </w:rPr>
              <w:t>Issue of customer-defined reports as and when required – per report</w:t>
            </w:r>
          </w:p>
        </w:tc>
        <w:tc>
          <w:tcPr>
            <w:tcW w:w="5103" w:type="dxa"/>
            <w:tcBorders>
              <w:top w:val="nil"/>
              <w:left w:val="nil"/>
              <w:bottom w:val="single" w:sz="4" w:space="0" w:color="auto"/>
              <w:right w:val="single" w:sz="4" w:space="0" w:color="auto"/>
            </w:tcBorders>
            <w:shd w:val="clear" w:color="auto" w:fill="auto"/>
            <w:vAlign w:val="center"/>
            <w:hideMark/>
          </w:tcPr>
          <w:p w14:paraId="1A520EC7" w14:textId="77777777" w:rsidR="00307360" w:rsidRPr="004A4051" w:rsidRDefault="00307360" w:rsidP="00203149">
            <w:pPr>
              <w:rPr>
                <w:sz w:val="20"/>
                <w:szCs w:val="20"/>
              </w:rPr>
            </w:pPr>
            <w:r w:rsidRPr="004A4051">
              <w:rPr>
                <w:sz w:val="20"/>
              </w:rPr>
              <w:t>USD 20</w:t>
            </w:r>
          </w:p>
        </w:tc>
      </w:tr>
      <w:tr w:rsidR="00307360" w:rsidRPr="004A4051" w14:paraId="153802C4" w14:textId="77777777" w:rsidTr="00CB1A0C">
        <w:trPr>
          <w:trHeight w:val="793"/>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7976EDBC" w14:textId="77777777" w:rsidR="00307360" w:rsidRPr="004A4051" w:rsidRDefault="00307360" w:rsidP="00203149">
            <w:pPr>
              <w:rPr>
                <w:sz w:val="20"/>
                <w:szCs w:val="20"/>
              </w:rPr>
            </w:pPr>
            <w:r w:rsidRPr="004A4051">
              <w:rPr>
                <w:sz w:val="20"/>
              </w:rPr>
              <w:t>Conversion of a financial instrument (conversion from depositary receipts to shares, from shares to depositary receipts)</w:t>
            </w:r>
          </w:p>
        </w:tc>
        <w:tc>
          <w:tcPr>
            <w:tcW w:w="5103" w:type="dxa"/>
            <w:tcBorders>
              <w:top w:val="nil"/>
              <w:left w:val="nil"/>
              <w:bottom w:val="single" w:sz="4" w:space="0" w:color="auto"/>
              <w:right w:val="single" w:sz="4" w:space="0" w:color="auto"/>
            </w:tcBorders>
            <w:shd w:val="clear" w:color="auto" w:fill="auto"/>
            <w:vAlign w:val="center"/>
            <w:hideMark/>
          </w:tcPr>
          <w:p w14:paraId="628B4DE4" w14:textId="77777777" w:rsidR="00307360" w:rsidRPr="004A4051" w:rsidRDefault="00307360" w:rsidP="00203149">
            <w:pPr>
              <w:rPr>
                <w:sz w:val="20"/>
                <w:szCs w:val="20"/>
              </w:rPr>
            </w:pPr>
            <w:r w:rsidRPr="004A4051">
              <w:rPr>
                <w:sz w:val="20"/>
              </w:rPr>
              <w:t>1.5 cents per depositary receipt, at least USD 20</w:t>
            </w:r>
          </w:p>
        </w:tc>
      </w:tr>
      <w:tr w:rsidR="00307360" w:rsidRPr="004A4051" w14:paraId="76A915BA" w14:textId="77777777" w:rsidTr="00CB1A0C">
        <w:trPr>
          <w:trHeight w:val="421"/>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20CED200" w14:textId="77777777" w:rsidR="00307360" w:rsidRPr="004A4051" w:rsidRDefault="00307360" w:rsidP="00203149">
            <w:pPr>
              <w:rPr>
                <w:sz w:val="20"/>
                <w:szCs w:val="20"/>
              </w:rPr>
            </w:pPr>
            <w:r w:rsidRPr="004A4051">
              <w:rPr>
                <w:sz w:val="20"/>
              </w:rPr>
              <w:t>Registration of an encumbrance/pledge</w:t>
            </w:r>
          </w:p>
        </w:tc>
        <w:tc>
          <w:tcPr>
            <w:tcW w:w="5103" w:type="dxa"/>
            <w:tcBorders>
              <w:top w:val="nil"/>
              <w:left w:val="nil"/>
              <w:bottom w:val="single" w:sz="4" w:space="0" w:color="auto"/>
              <w:right w:val="single" w:sz="4" w:space="0" w:color="auto"/>
            </w:tcBorders>
            <w:shd w:val="clear" w:color="auto" w:fill="auto"/>
            <w:vAlign w:val="center"/>
            <w:hideMark/>
          </w:tcPr>
          <w:p w14:paraId="395B17B4" w14:textId="77777777" w:rsidR="00307360" w:rsidRPr="004A4051" w:rsidRDefault="00307360" w:rsidP="00203149">
            <w:pPr>
              <w:rPr>
                <w:sz w:val="20"/>
                <w:szCs w:val="20"/>
              </w:rPr>
            </w:pPr>
            <w:r w:rsidRPr="004A4051">
              <w:rPr>
                <w:sz w:val="20"/>
              </w:rPr>
              <w:t>0.2% of the transaction amount, at least USD 20</w:t>
            </w:r>
          </w:p>
        </w:tc>
      </w:tr>
      <w:tr w:rsidR="00307360" w:rsidRPr="004A4051" w14:paraId="7BC2A851" w14:textId="77777777" w:rsidTr="00CB1A0C">
        <w:trPr>
          <w:trHeight w:val="519"/>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4FB36965" w14:textId="77777777" w:rsidR="00307360" w:rsidRPr="004A4051" w:rsidRDefault="00307360" w:rsidP="00203149">
            <w:pPr>
              <w:rPr>
                <w:sz w:val="20"/>
                <w:szCs w:val="20"/>
              </w:rPr>
            </w:pPr>
            <w:r w:rsidRPr="004A4051">
              <w:rPr>
                <w:sz w:val="20"/>
              </w:rPr>
              <w:t>Dematerialization of a financial instrument</w:t>
            </w:r>
          </w:p>
        </w:tc>
        <w:tc>
          <w:tcPr>
            <w:tcW w:w="5103" w:type="dxa"/>
            <w:tcBorders>
              <w:top w:val="nil"/>
              <w:left w:val="nil"/>
              <w:bottom w:val="single" w:sz="4" w:space="0" w:color="auto"/>
              <w:right w:val="single" w:sz="4" w:space="0" w:color="auto"/>
            </w:tcBorders>
            <w:shd w:val="clear" w:color="auto" w:fill="auto"/>
            <w:vAlign w:val="center"/>
            <w:hideMark/>
          </w:tcPr>
          <w:p w14:paraId="30DF2607" w14:textId="77777777" w:rsidR="00307360" w:rsidRPr="004A4051" w:rsidRDefault="00307360" w:rsidP="00203149">
            <w:pPr>
              <w:rPr>
                <w:sz w:val="20"/>
                <w:szCs w:val="20"/>
              </w:rPr>
            </w:pPr>
            <w:r w:rsidRPr="004A4051">
              <w:rPr>
                <w:sz w:val="20"/>
              </w:rPr>
              <w:t>0.02% of the financial instrument’s fair market value, at least USD 200</w:t>
            </w:r>
          </w:p>
        </w:tc>
      </w:tr>
      <w:tr w:rsidR="00307360" w:rsidRPr="004A4051" w14:paraId="0FB1C0D1" w14:textId="77777777" w:rsidTr="00CB1A0C">
        <w:trPr>
          <w:trHeight w:val="555"/>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75C01A18" w14:textId="77777777" w:rsidR="00307360" w:rsidRPr="004A4051" w:rsidRDefault="00307360" w:rsidP="00203149">
            <w:pPr>
              <w:rPr>
                <w:sz w:val="20"/>
                <w:szCs w:val="20"/>
              </w:rPr>
            </w:pPr>
            <w:r w:rsidRPr="004A4051">
              <w:rPr>
                <w:sz w:val="20"/>
              </w:rPr>
              <w:t>Proxy voting on corporate actions</w:t>
            </w:r>
          </w:p>
        </w:tc>
        <w:tc>
          <w:tcPr>
            <w:tcW w:w="5103" w:type="dxa"/>
            <w:tcBorders>
              <w:top w:val="nil"/>
              <w:left w:val="nil"/>
              <w:bottom w:val="single" w:sz="4" w:space="0" w:color="auto"/>
              <w:right w:val="single" w:sz="4" w:space="0" w:color="auto"/>
            </w:tcBorders>
            <w:shd w:val="clear" w:color="auto" w:fill="auto"/>
            <w:vAlign w:val="center"/>
            <w:hideMark/>
          </w:tcPr>
          <w:p w14:paraId="65B5EF7F" w14:textId="77777777" w:rsidR="00307360" w:rsidRPr="004A4051" w:rsidRDefault="00307360" w:rsidP="00203149">
            <w:pPr>
              <w:rPr>
                <w:sz w:val="20"/>
                <w:szCs w:val="20"/>
              </w:rPr>
            </w:pPr>
            <w:r w:rsidRPr="004A4051">
              <w:rPr>
                <w:sz w:val="20"/>
              </w:rPr>
              <w:t>USD 70</w:t>
            </w:r>
          </w:p>
        </w:tc>
      </w:tr>
      <w:tr w:rsidR="00307360" w:rsidRPr="004A4051" w14:paraId="65309485" w14:textId="77777777" w:rsidTr="00CB1A0C">
        <w:trPr>
          <w:trHeight w:val="452"/>
        </w:trPr>
        <w:tc>
          <w:tcPr>
            <w:tcW w:w="5245" w:type="dxa"/>
            <w:tcBorders>
              <w:top w:val="nil"/>
              <w:left w:val="single" w:sz="8" w:space="0" w:color="auto"/>
              <w:bottom w:val="single" w:sz="4" w:space="0" w:color="auto"/>
              <w:right w:val="single" w:sz="4" w:space="0" w:color="auto"/>
            </w:tcBorders>
            <w:shd w:val="clear" w:color="auto" w:fill="auto"/>
            <w:vAlign w:val="center"/>
          </w:tcPr>
          <w:p w14:paraId="313ED80F" w14:textId="45004C41" w:rsidR="00307360" w:rsidRPr="004A4051" w:rsidRDefault="00307360" w:rsidP="00203149">
            <w:pPr>
              <w:rPr>
                <w:sz w:val="20"/>
                <w:szCs w:val="20"/>
              </w:rPr>
            </w:pPr>
            <w:r w:rsidRPr="004A4051">
              <w:rPr>
                <w:sz w:val="20"/>
              </w:rPr>
              <w:t>Safe</w:t>
            </w:r>
            <w:r w:rsidR="001B5172">
              <w:rPr>
                <w:sz w:val="20"/>
              </w:rPr>
              <w:t>keeping of securities</w:t>
            </w:r>
            <w:r w:rsidRPr="004A4051">
              <w:rPr>
                <w:sz w:val="20"/>
              </w:rPr>
              <w:t xml:space="preserve"> at Central Securities Depository JSC - depending on the volume of assets</w:t>
            </w:r>
          </w:p>
        </w:tc>
        <w:tc>
          <w:tcPr>
            <w:tcW w:w="5103" w:type="dxa"/>
            <w:tcBorders>
              <w:top w:val="nil"/>
              <w:left w:val="nil"/>
              <w:bottom w:val="single" w:sz="4" w:space="0" w:color="auto"/>
              <w:right w:val="single" w:sz="4" w:space="0" w:color="auto"/>
            </w:tcBorders>
            <w:shd w:val="clear" w:color="auto" w:fill="auto"/>
            <w:vAlign w:val="center"/>
          </w:tcPr>
          <w:p w14:paraId="52F391E3" w14:textId="28832792" w:rsidR="00307360" w:rsidRPr="004A4051" w:rsidRDefault="00307360" w:rsidP="00203149">
            <w:pPr>
              <w:rPr>
                <w:sz w:val="20"/>
                <w:szCs w:val="20"/>
              </w:rPr>
            </w:pPr>
            <w:r w:rsidRPr="004A4051">
              <w:rPr>
                <w:sz w:val="20"/>
              </w:rPr>
              <w:t>0.0</w:t>
            </w:r>
            <w:r w:rsidR="00134F0B">
              <w:rPr>
                <w:sz w:val="20"/>
                <w:lang w:val="ru-RU"/>
              </w:rPr>
              <w:t>3</w:t>
            </w:r>
            <w:r w:rsidRPr="004A4051">
              <w:rPr>
                <w:sz w:val="20"/>
              </w:rPr>
              <w:t>% p.a.</w:t>
            </w:r>
          </w:p>
        </w:tc>
      </w:tr>
      <w:tr w:rsidR="00307360" w:rsidRPr="004A4051" w14:paraId="4BE96D10" w14:textId="77777777" w:rsidTr="00CB1A0C">
        <w:trPr>
          <w:trHeight w:val="363"/>
        </w:trPr>
        <w:tc>
          <w:tcPr>
            <w:tcW w:w="5245" w:type="dxa"/>
            <w:tcBorders>
              <w:top w:val="nil"/>
              <w:left w:val="single" w:sz="8" w:space="0" w:color="auto"/>
              <w:bottom w:val="single" w:sz="4" w:space="0" w:color="auto"/>
              <w:right w:val="single" w:sz="4" w:space="0" w:color="auto"/>
            </w:tcBorders>
            <w:shd w:val="clear" w:color="auto" w:fill="auto"/>
            <w:vAlign w:val="center"/>
          </w:tcPr>
          <w:p w14:paraId="13BE911B" w14:textId="4C487E87" w:rsidR="00307360" w:rsidRPr="004A4051" w:rsidRDefault="001B5172" w:rsidP="00203149">
            <w:pPr>
              <w:rPr>
                <w:sz w:val="20"/>
                <w:szCs w:val="20"/>
              </w:rPr>
            </w:pPr>
            <w:r w:rsidRPr="004A4051">
              <w:rPr>
                <w:sz w:val="20"/>
              </w:rPr>
              <w:t>Safe</w:t>
            </w:r>
            <w:r>
              <w:rPr>
                <w:sz w:val="20"/>
              </w:rPr>
              <w:t>keeping of securities</w:t>
            </w:r>
            <w:r w:rsidRPr="004A4051">
              <w:rPr>
                <w:sz w:val="20"/>
              </w:rPr>
              <w:t xml:space="preserve"> </w:t>
            </w:r>
            <w:r w:rsidR="00307360" w:rsidRPr="004A4051">
              <w:rPr>
                <w:sz w:val="20"/>
              </w:rPr>
              <w:t>at local custodian banks - depending on the volume of assets</w:t>
            </w:r>
          </w:p>
        </w:tc>
        <w:tc>
          <w:tcPr>
            <w:tcW w:w="5103" w:type="dxa"/>
            <w:tcBorders>
              <w:top w:val="nil"/>
              <w:left w:val="nil"/>
              <w:bottom w:val="single" w:sz="4" w:space="0" w:color="auto"/>
              <w:right w:val="single" w:sz="4" w:space="0" w:color="auto"/>
            </w:tcBorders>
            <w:shd w:val="clear" w:color="auto" w:fill="auto"/>
            <w:vAlign w:val="center"/>
          </w:tcPr>
          <w:p w14:paraId="10D163AC" w14:textId="77777777" w:rsidR="00307360" w:rsidRPr="004A4051" w:rsidRDefault="00307360" w:rsidP="00203149">
            <w:pPr>
              <w:rPr>
                <w:sz w:val="20"/>
                <w:szCs w:val="20"/>
              </w:rPr>
            </w:pPr>
            <w:r w:rsidRPr="004A4051">
              <w:rPr>
                <w:sz w:val="20"/>
              </w:rPr>
              <w:t>0.2% p.a.</w:t>
            </w:r>
          </w:p>
        </w:tc>
      </w:tr>
      <w:tr w:rsidR="00307360" w:rsidRPr="004A4051" w14:paraId="77C059B4" w14:textId="77777777" w:rsidTr="00CB1A0C">
        <w:trPr>
          <w:trHeight w:val="423"/>
        </w:trPr>
        <w:tc>
          <w:tcPr>
            <w:tcW w:w="10348" w:type="dxa"/>
            <w:gridSpan w:val="2"/>
            <w:tcBorders>
              <w:top w:val="nil"/>
              <w:left w:val="single" w:sz="8" w:space="0" w:color="auto"/>
              <w:bottom w:val="single" w:sz="4" w:space="0" w:color="auto"/>
              <w:right w:val="single" w:sz="4" w:space="0" w:color="auto"/>
            </w:tcBorders>
            <w:shd w:val="clear" w:color="auto" w:fill="0070C0"/>
            <w:vAlign w:val="center"/>
          </w:tcPr>
          <w:p w14:paraId="5509E5C3" w14:textId="77777777" w:rsidR="00307360" w:rsidRPr="004A4051" w:rsidRDefault="00307360" w:rsidP="00203149">
            <w:pPr>
              <w:jc w:val="center"/>
              <w:rPr>
                <w:sz w:val="20"/>
                <w:szCs w:val="20"/>
              </w:rPr>
            </w:pPr>
            <w:r w:rsidRPr="004A4051">
              <w:rPr>
                <w:b/>
                <w:color w:val="FFFFFF"/>
                <w:sz w:val="20"/>
              </w:rPr>
              <w:t>Brokerage services</w:t>
            </w:r>
          </w:p>
        </w:tc>
      </w:tr>
      <w:tr w:rsidR="00307360" w:rsidRPr="004A4051" w14:paraId="78FDE83C" w14:textId="77777777" w:rsidTr="00CB1A0C">
        <w:trPr>
          <w:trHeight w:val="862"/>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293E55DD" w14:textId="77777777" w:rsidR="00307360" w:rsidRPr="004A4051" w:rsidRDefault="00307360" w:rsidP="00203149">
            <w:pPr>
              <w:rPr>
                <w:sz w:val="20"/>
                <w:szCs w:val="20"/>
              </w:rPr>
            </w:pPr>
            <w:r w:rsidRPr="004A4051">
              <w:rPr>
                <w:sz w:val="20"/>
              </w:rPr>
              <w:t>Purchase/sale of financial instruments through the Kazakhstan Stock Exchange/AIFC Exchange - depending on the transaction amount</w:t>
            </w:r>
          </w:p>
        </w:tc>
        <w:tc>
          <w:tcPr>
            <w:tcW w:w="5103" w:type="dxa"/>
            <w:tcBorders>
              <w:top w:val="nil"/>
              <w:left w:val="nil"/>
              <w:bottom w:val="single" w:sz="4" w:space="0" w:color="auto"/>
              <w:right w:val="single" w:sz="4" w:space="0" w:color="auto"/>
            </w:tcBorders>
            <w:shd w:val="clear" w:color="auto" w:fill="auto"/>
            <w:vAlign w:val="center"/>
            <w:hideMark/>
          </w:tcPr>
          <w:p w14:paraId="5770C258" w14:textId="77777777" w:rsidR="00307360" w:rsidRPr="004A4051" w:rsidRDefault="00307360" w:rsidP="00203149">
            <w:pPr>
              <w:spacing w:before="120"/>
              <w:rPr>
                <w:sz w:val="20"/>
                <w:szCs w:val="20"/>
              </w:rPr>
            </w:pPr>
            <w:r w:rsidRPr="004A4051">
              <w:rPr>
                <w:sz w:val="20"/>
              </w:rPr>
              <w:t>0.3%, at least USD 20</w:t>
            </w:r>
          </w:p>
          <w:p w14:paraId="1BDC999D" w14:textId="77777777" w:rsidR="00307360" w:rsidRPr="004A4051" w:rsidRDefault="00307360" w:rsidP="00203149">
            <w:pPr>
              <w:spacing w:before="120"/>
              <w:rPr>
                <w:sz w:val="20"/>
                <w:szCs w:val="20"/>
              </w:rPr>
            </w:pPr>
          </w:p>
        </w:tc>
      </w:tr>
      <w:tr w:rsidR="00307360" w:rsidRPr="004A4051" w14:paraId="0B3E0D6B" w14:textId="77777777" w:rsidTr="00CB1A0C">
        <w:trPr>
          <w:trHeight w:val="752"/>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3FC33B96" w14:textId="77777777" w:rsidR="00307360" w:rsidRPr="004A4051" w:rsidRDefault="00307360" w:rsidP="00203149">
            <w:pPr>
              <w:rPr>
                <w:sz w:val="20"/>
                <w:szCs w:val="20"/>
              </w:rPr>
            </w:pPr>
            <w:r w:rsidRPr="004A4051">
              <w:rPr>
                <w:sz w:val="20"/>
              </w:rPr>
              <w:t>Purchase/sale of financial instruments in the over-the-counter/international market - depending on the transaction amount</w:t>
            </w:r>
          </w:p>
        </w:tc>
        <w:tc>
          <w:tcPr>
            <w:tcW w:w="5103" w:type="dxa"/>
            <w:tcBorders>
              <w:top w:val="nil"/>
              <w:left w:val="nil"/>
              <w:bottom w:val="single" w:sz="4" w:space="0" w:color="auto"/>
              <w:right w:val="single" w:sz="4" w:space="0" w:color="auto"/>
            </w:tcBorders>
            <w:shd w:val="clear" w:color="auto" w:fill="auto"/>
            <w:vAlign w:val="center"/>
            <w:hideMark/>
          </w:tcPr>
          <w:p w14:paraId="3FD1B1A6" w14:textId="77777777" w:rsidR="00307360" w:rsidRPr="004A4051" w:rsidRDefault="00307360" w:rsidP="00203149">
            <w:pPr>
              <w:rPr>
                <w:sz w:val="20"/>
                <w:szCs w:val="20"/>
              </w:rPr>
            </w:pPr>
            <w:r w:rsidRPr="004A4051">
              <w:rPr>
                <w:sz w:val="20"/>
              </w:rPr>
              <w:t>0.5% of the transaction amount, at least USD 100</w:t>
            </w:r>
          </w:p>
          <w:p w14:paraId="6A990412" w14:textId="77777777" w:rsidR="00307360" w:rsidRPr="004A4051" w:rsidRDefault="00307360" w:rsidP="00203149">
            <w:pPr>
              <w:ind w:left="185" w:hanging="142"/>
              <w:rPr>
                <w:sz w:val="20"/>
                <w:szCs w:val="20"/>
              </w:rPr>
            </w:pPr>
          </w:p>
        </w:tc>
      </w:tr>
      <w:tr w:rsidR="00307360" w:rsidRPr="004A4051" w14:paraId="188088C7" w14:textId="77777777" w:rsidTr="00CB1A0C">
        <w:trPr>
          <w:trHeight w:val="331"/>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66958468" w14:textId="77777777" w:rsidR="00307360" w:rsidRPr="004A4051" w:rsidRDefault="00307360" w:rsidP="00203149">
            <w:pPr>
              <w:rPr>
                <w:sz w:val="20"/>
                <w:szCs w:val="20"/>
              </w:rPr>
            </w:pPr>
            <w:r w:rsidRPr="004A4051">
              <w:rPr>
                <w:sz w:val="20"/>
              </w:rPr>
              <w:t>Currency conversion at KASE</w:t>
            </w:r>
          </w:p>
        </w:tc>
        <w:tc>
          <w:tcPr>
            <w:tcW w:w="5103" w:type="dxa"/>
            <w:tcBorders>
              <w:top w:val="nil"/>
              <w:left w:val="nil"/>
              <w:bottom w:val="single" w:sz="4" w:space="0" w:color="auto"/>
              <w:right w:val="single" w:sz="4" w:space="0" w:color="auto"/>
            </w:tcBorders>
            <w:shd w:val="clear" w:color="auto" w:fill="auto"/>
            <w:vAlign w:val="center"/>
            <w:hideMark/>
          </w:tcPr>
          <w:p w14:paraId="11056F03" w14:textId="77777777" w:rsidR="00307360" w:rsidRPr="004A4051" w:rsidRDefault="00307360" w:rsidP="00203149">
            <w:pPr>
              <w:rPr>
                <w:sz w:val="20"/>
                <w:szCs w:val="20"/>
              </w:rPr>
            </w:pPr>
            <w:r w:rsidRPr="004A4051">
              <w:rPr>
                <w:sz w:val="20"/>
              </w:rPr>
              <w:t>0.05% of the transaction amount, at least 1 MCI</w:t>
            </w:r>
          </w:p>
        </w:tc>
      </w:tr>
      <w:tr w:rsidR="00307360" w:rsidRPr="004A4051" w14:paraId="47895E8E" w14:textId="77777777" w:rsidTr="00CB1A0C">
        <w:trPr>
          <w:trHeight w:val="1838"/>
        </w:trPr>
        <w:tc>
          <w:tcPr>
            <w:tcW w:w="5245" w:type="dxa"/>
            <w:tcBorders>
              <w:top w:val="single" w:sz="4" w:space="0" w:color="auto"/>
              <w:left w:val="single" w:sz="8" w:space="0" w:color="auto"/>
              <w:bottom w:val="single" w:sz="8" w:space="0" w:color="auto"/>
              <w:right w:val="single" w:sz="4" w:space="0" w:color="auto"/>
            </w:tcBorders>
            <w:shd w:val="clear" w:color="auto" w:fill="auto"/>
            <w:vAlign w:val="center"/>
          </w:tcPr>
          <w:p w14:paraId="160C0719" w14:textId="77777777" w:rsidR="00307360" w:rsidRPr="004A4051" w:rsidRDefault="00307360" w:rsidP="00203149">
            <w:pPr>
              <w:spacing w:before="120" w:after="120"/>
              <w:rPr>
                <w:sz w:val="20"/>
                <w:szCs w:val="20"/>
              </w:rPr>
            </w:pPr>
            <w:r w:rsidRPr="004A4051">
              <w:rPr>
                <w:sz w:val="20"/>
              </w:rPr>
              <w:lastRenderedPageBreak/>
              <w:t>REPO transactions</w:t>
            </w:r>
          </w:p>
          <w:p w14:paraId="66790486" w14:textId="77777777" w:rsidR="00307360" w:rsidRPr="004A4051" w:rsidRDefault="00307360" w:rsidP="00307360">
            <w:pPr>
              <w:numPr>
                <w:ilvl w:val="0"/>
                <w:numId w:val="22"/>
              </w:numPr>
              <w:spacing w:after="200"/>
              <w:ind w:left="227" w:hanging="227"/>
              <w:rPr>
                <w:sz w:val="20"/>
                <w:szCs w:val="20"/>
              </w:rPr>
            </w:pPr>
            <w:r w:rsidRPr="004A4051">
              <w:rPr>
                <w:sz w:val="20"/>
              </w:rPr>
              <w:t>in case of a reverse REPO operation (placement of funds) – as a percentage of the customer’s income;</w:t>
            </w:r>
          </w:p>
          <w:p w14:paraId="4BAF7C98" w14:textId="77777777" w:rsidR="00307360" w:rsidRPr="004A4051" w:rsidRDefault="00307360" w:rsidP="00307360">
            <w:pPr>
              <w:numPr>
                <w:ilvl w:val="0"/>
                <w:numId w:val="22"/>
              </w:numPr>
              <w:spacing w:after="200"/>
              <w:ind w:left="227" w:hanging="227"/>
              <w:rPr>
                <w:sz w:val="20"/>
                <w:szCs w:val="20"/>
              </w:rPr>
            </w:pPr>
            <w:r w:rsidRPr="004A4051">
              <w:rPr>
                <w:sz w:val="20"/>
              </w:rPr>
              <w:t>in case of a REPO operation (raising funds) – as a percentage of the difference between the closing and opening volumes</w:t>
            </w:r>
          </w:p>
        </w:tc>
        <w:tc>
          <w:tcPr>
            <w:tcW w:w="5103" w:type="dxa"/>
            <w:tcBorders>
              <w:top w:val="single" w:sz="4" w:space="0" w:color="auto"/>
              <w:left w:val="nil"/>
              <w:bottom w:val="single" w:sz="8" w:space="0" w:color="auto"/>
              <w:right w:val="single" w:sz="4" w:space="0" w:color="auto"/>
            </w:tcBorders>
            <w:shd w:val="clear" w:color="auto" w:fill="auto"/>
            <w:vAlign w:val="center"/>
          </w:tcPr>
          <w:p w14:paraId="786FE81E" w14:textId="77777777" w:rsidR="00DD44CF" w:rsidRDefault="00DD44CF" w:rsidP="00203149">
            <w:pPr>
              <w:rPr>
                <w:rFonts w:ascii="Segoe UI Symbol" w:hAnsi="Segoe UI Symbol"/>
                <w:sz w:val="20"/>
              </w:rPr>
            </w:pPr>
          </w:p>
          <w:p w14:paraId="264BACFC" w14:textId="28C1E6AA" w:rsidR="00307360" w:rsidRPr="004A4051" w:rsidRDefault="00307360" w:rsidP="00203149">
            <w:pPr>
              <w:rPr>
                <w:sz w:val="20"/>
                <w:szCs w:val="20"/>
              </w:rPr>
            </w:pPr>
            <w:r w:rsidRPr="004A4051">
              <w:rPr>
                <w:rFonts w:ascii="Segoe UI Symbol" w:hAnsi="Segoe UI Symbol"/>
                <w:sz w:val="20"/>
              </w:rPr>
              <w:t>◾</w:t>
            </w:r>
            <w:r w:rsidRPr="004A4051">
              <w:rPr>
                <w:sz w:val="20"/>
              </w:rPr>
              <w:t xml:space="preserve"> 1% </w:t>
            </w:r>
            <w:r w:rsidR="00164EE3" w:rsidRPr="004A4051">
              <w:rPr>
                <w:sz w:val="20"/>
              </w:rPr>
              <w:t>of the</w:t>
            </w:r>
            <w:r w:rsidR="00164EE3">
              <w:rPr>
                <w:sz w:val="20"/>
              </w:rPr>
              <w:t xml:space="preserve"> amount of income within one client order</w:t>
            </w:r>
            <w:r w:rsidRPr="004A4051">
              <w:rPr>
                <w:sz w:val="20"/>
              </w:rPr>
              <w:t>, at least USD 10</w:t>
            </w:r>
          </w:p>
          <w:p w14:paraId="0D4CC10D" w14:textId="77777777" w:rsidR="00DD44CF" w:rsidRPr="004A4051" w:rsidRDefault="00DD44CF" w:rsidP="00203149">
            <w:pPr>
              <w:rPr>
                <w:sz w:val="20"/>
                <w:szCs w:val="20"/>
              </w:rPr>
            </w:pPr>
          </w:p>
          <w:p w14:paraId="617CC993" w14:textId="7C44BF69" w:rsidR="00307360" w:rsidRPr="004A4051" w:rsidRDefault="00307360" w:rsidP="00203149">
            <w:pPr>
              <w:rPr>
                <w:sz w:val="20"/>
                <w:szCs w:val="20"/>
              </w:rPr>
            </w:pPr>
            <w:r w:rsidRPr="004A4051">
              <w:rPr>
                <w:rFonts w:ascii="Segoe UI Symbol" w:hAnsi="Segoe UI Symbol"/>
                <w:sz w:val="20"/>
              </w:rPr>
              <w:t>◾</w:t>
            </w:r>
            <w:r w:rsidRPr="004A4051">
              <w:rPr>
                <w:sz w:val="20"/>
              </w:rPr>
              <w:t xml:space="preserve"> 2%</w:t>
            </w:r>
            <w:r w:rsidR="00DD44CF">
              <w:rPr>
                <w:sz w:val="20"/>
                <w:lang w:val="kk-KZ"/>
              </w:rPr>
              <w:t xml:space="preserve"> </w:t>
            </w:r>
            <w:r w:rsidR="00DD44CF" w:rsidRPr="004A4051">
              <w:rPr>
                <w:sz w:val="20"/>
              </w:rPr>
              <w:t>of the</w:t>
            </w:r>
            <w:r w:rsidR="00DD44CF">
              <w:rPr>
                <w:sz w:val="20"/>
              </w:rPr>
              <w:t xml:space="preserve"> amount of income within one client order</w:t>
            </w:r>
            <w:r w:rsidRPr="004A4051">
              <w:rPr>
                <w:sz w:val="20"/>
              </w:rPr>
              <w:t xml:space="preserve">, at least USD 20 </w:t>
            </w:r>
          </w:p>
          <w:p w14:paraId="0B4DECFD" w14:textId="77777777" w:rsidR="00307360" w:rsidRPr="004A4051" w:rsidRDefault="00307360" w:rsidP="00203149">
            <w:pPr>
              <w:rPr>
                <w:sz w:val="20"/>
                <w:szCs w:val="20"/>
              </w:rPr>
            </w:pPr>
          </w:p>
        </w:tc>
      </w:tr>
    </w:tbl>
    <w:p w14:paraId="6542515E" w14:textId="77777777" w:rsidR="00307360" w:rsidRPr="004A4051" w:rsidRDefault="00307360" w:rsidP="00490628">
      <w:pPr>
        <w:jc w:val="center"/>
        <w:rPr>
          <w:rFonts w:eastAsiaTheme="minorEastAsia"/>
          <w:b/>
          <w:bCs/>
          <w:sz w:val="22"/>
          <w:szCs w:val="22"/>
        </w:rPr>
      </w:pPr>
    </w:p>
    <w:p w14:paraId="65DC647A" w14:textId="77777777" w:rsidR="00490628" w:rsidRPr="004A4051" w:rsidRDefault="00490628" w:rsidP="00490628">
      <w:pPr>
        <w:jc w:val="right"/>
      </w:pPr>
    </w:p>
    <w:p w14:paraId="3CA4C796" w14:textId="3DB12D66" w:rsidR="004115E9" w:rsidRPr="004115E9" w:rsidRDefault="00A97C0B" w:rsidP="00A97C0B">
      <w:pPr>
        <w:spacing w:after="120"/>
        <w:rPr>
          <w:b/>
          <w:i/>
          <w:sz w:val="22"/>
          <w:u w:val="single"/>
        </w:rPr>
      </w:pPr>
      <w:r w:rsidRPr="004A4051">
        <w:rPr>
          <w:b/>
          <w:i/>
          <w:sz w:val="22"/>
          <w:u w:val="single"/>
        </w:rPr>
        <w:t>Notes</w:t>
      </w:r>
    </w:p>
    <w:p w14:paraId="406E0F65" w14:textId="44764FA5" w:rsidR="004115E9" w:rsidRPr="00715ADD" w:rsidRDefault="00397DA5" w:rsidP="006A1D37">
      <w:pPr>
        <w:pStyle w:val="a6"/>
        <w:numPr>
          <w:ilvl w:val="0"/>
          <w:numId w:val="28"/>
        </w:numPr>
        <w:tabs>
          <w:tab w:val="left" w:pos="0"/>
          <w:tab w:val="left" w:pos="142"/>
          <w:tab w:val="left" w:pos="284"/>
        </w:tabs>
        <w:spacing w:before="80" w:after="80"/>
        <w:ind w:left="-426" w:hanging="425"/>
        <w:contextualSpacing w:val="0"/>
        <w:jc w:val="both"/>
        <w:rPr>
          <w:b/>
          <w:bCs/>
          <w:sz w:val="22"/>
          <w:szCs w:val="22"/>
        </w:rPr>
      </w:pPr>
      <w:r w:rsidRPr="00B906E8">
        <w:rPr>
          <w:sz w:val="22"/>
        </w:rPr>
        <w:t>Tariff calculations use the monthly calculation indicator (MCI), established by the Law of the Republi</w:t>
      </w:r>
      <w:r w:rsidR="00715ADD">
        <w:rPr>
          <w:sz w:val="22"/>
        </w:rPr>
        <w:t>c</w:t>
      </w:r>
      <w:r>
        <w:rPr>
          <w:sz w:val="22"/>
        </w:rPr>
        <w:t xml:space="preserve"> </w:t>
      </w:r>
      <w:r w:rsidRPr="00B906E8">
        <w:rPr>
          <w:sz w:val="22"/>
        </w:rPr>
        <w:t>of Kazakhstan “On the Republican Budget” for the corresponding calendar year.</w:t>
      </w:r>
    </w:p>
    <w:p w14:paraId="22968FC1" w14:textId="2A5ABFE1" w:rsidR="00E13298" w:rsidRDefault="00F00191" w:rsidP="006A1D37">
      <w:pPr>
        <w:pStyle w:val="a6"/>
        <w:numPr>
          <w:ilvl w:val="0"/>
          <w:numId w:val="28"/>
        </w:numPr>
        <w:spacing w:after="120"/>
        <w:ind w:left="-426" w:hanging="425"/>
        <w:jc w:val="both"/>
        <w:rPr>
          <w:sz w:val="22"/>
        </w:rPr>
      </w:pPr>
      <w:r w:rsidRPr="00F00191">
        <w:rPr>
          <w:sz w:val="22"/>
        </w:rPr>
        <w:t xml:space="preserve">The above rates and tariffs include the rates and tariffs of third parties, which are, that is, other professional market participants in transactions and storage of securities, namely: Tariffs of Kazakhstan Stock Exchange JSC, Central Securities Depository JSC, custodian banks, second-tier banks, AIFC exchange, AIFC </w:t>
      </w:r>
      <w:r w:rsidR="006A1D37">
        <w:rPr>
          <w:sz w:val="22"/>
          <w:lang w:val="kk-KZ"/>
        </w:rPr>
        <w:t xml:space="preserve">  </w:t>
      </w:r>
      <w:r w:rsidRPr="00F00191">
        <w:rPr>
          <w:sz w:val="22"/>
        </w:rPr>
        <w:t>Depository, international intermediary brokers and other commissions included in the transaction amount.</w:t>
      </w:r>
    </w:p>
    <w:p w14:paraId="6BF4CD43" w14:textId="77777777" w:rsidR="00006716" w:rsidRPr="00006716" w:rsidRDefault="00006716" w:rsidP="00006716">
      <w:pPr>
        <w:pStyle w:val="a6"/>
        <w:spacing w:after="120"/>
        <w:ind w:left="-567"/>
        <w:jc w:val="both"/>
        <w:rPr>
          <w:sz w:val="22"/>
        </w:rPr>
      </w:pPr>
    </w:p>
    <w:p w14:paraId="587B0ED9" w14:textId="24710945" w:rsidR="00A97C0B" w:rsidRPr="004A4051" w:rsidRDefault="006A1D37" w:rsidP="00006716">
      <w:pPr>
        <w:pStyle w:val="a6"/>
        <w:numPr>
          <w:ilvl w:val="0"/>
          <w:numId w:val="28"/>
        </w:numPr>
        <w:spacing w:after="120"/>
        <w:ind w:left="-567" w:hanging="284"/>
        <w:jc w:val="both"/>
        <w:rPr>
          <w:bCs/>
          <w:sz w:val="22"/>
          <w:szCs w:val="22"/>
        </w:rPr>
      </w:pPr>
      <w:r>
        <w:rPr>
          <w:sz w:val="22"/>
          <w:lang w:val="kk-KZ"/>
        </w:rPr>
        <w:t xml:space="preserve">  </w:t>
      </w:r>
      <w:r w:rsidR="00A97C0B" w:rsidRPr="004A4051">
        <w:rPr>
          <w:sz w:val="22"/>
        </w:rPr>
        <w:t>The above tariffs do not include:</w:t>
      </w:r>
    </w:p>
    <w:p w14:paraId="0A893D8A" w14:textId="01F4C8AC" w:rsidR="00A97C0B" w:rsidRDefault="006A1D37" w:rsidP="00465F48">
      <w:pPr>
        <w:spacing w:after="120"/>
        <w:ind w:left="-567"/>
        <w:jc w:val="both"/>
        <w:rPr>
          <w:sz w:val="22"/>
        </w:rPr>
      </w:pPr>
      <w:r>
        <w:rPr>
          <w:sz w:val="22"/>
          <w:lang w:val="kk-KZ"/>
        </w:rPr>
        <w:t xml:space="preserve">  </w:t>
      </w:r>
      <w:r w:rsidR="00A97C0B" w:rsidRPr="00E13298">
        <w:rPr>
          <w:sz w:val="22"/>
        </w:rPr>
        <w:t xml:space="preserve">The Stamp Duty at the rate of 0.2%/1.5% of the transaction amount depending on the SDRT* regime. </w:t>
      </w:r>
      <w:r w:rsidR="00085107">
        <w:rPr>
          <w:sz w:val="22"/>
        </w:rPr>
        <w:t xml:space="preserve">                </w:t>
      </w:r>
      <w:r w:rsidR="00950F91">
        <w:rPr>
          <w:sz w:val="22"/>
        </w:rPr>
        <w:t xml:space="preserve">  </w:t>
      </w:r>
      <w:r>
        <w:rPr>
          <w:sz w:val="22"/>
          <w:lang w:val="kk-KZ"/>
        </w:rPr>
        <w:t xml:space="preserve">   </w:t>
      </w:r>
      <w:r w:rsidR="00A97C0B" w:rsidRPr="00E13298">
        <w:rPr>
          <w:sz w:val="22"/>
        </w:rPr>
        <w:t>*Stamp Duty Reserve Tax</w:t>
      </w:r>
    </w:p>
    <w:p w14:paraId="78578470" w14:textId="218415A1" w:rsidR="00E13298" w:rsidRDefault="00535B2C" w:rsidP="00465F48">
      <w:pPr>
        <w:spacing w:after="120"/>
        <w:ind w:left="-567" w:hanging="142"/>
        <w:jc w:val="both"/>
        <w:rPr>
          <w:sz w:val="22"/>
        </w:rPr>
      </w:pPr>
      <w:r>
        <w:rPr>
          <w:sz w:val="22"/>
        </w:rPr>
        <w:t xml:space="preserve">  </w:t>
      </w:r>
      <w:r w:rsidR="00EA51D6">
        <w:rPr>
          <w:sz w:val="22"/>
        </w:rPr>
        <w:t xml:space="preserve"> </w:t>
      </w:r>
      <w:r w:rsidR="006A1D37">
        <w:rPr>
          <w:sz w:val="22"/>
          <w:lang w:val="kk-KZ"/>
        </w:rPr>
        <w:t xml:space="preserve">  </w:t>
      </w:r>
      <w:r w:rsidR="00E74B5C" w:rsidRPr="00E74B5C">
        <w:rPr>
          <w:sz w:val="22"/>
        </w:rPr>
        <w:t>Form W8-BEN filing fee.</w:t>
      </w:r>
    </w:p>
    <w:p w14:paraId="4E0A94F3" w14:textId="43EB553A" w:rsidR="00A97C0B" w:rsidRPr="001939A1" w:rsidRDefault="00535B2C" w:rsidP="00465F48">
      <w:pPr>
        <w:spacing w:after="120"/>
        <w:ind w:left="-567" w:hanging="142"/>
        <w:jc w:val="both"/>
        <w:rPr>
          <w:sz w:val="22"/>
        </w:rPr>
      </w:pPr>
      <w:r>
        <w:rPr>
          <w:sz w:val="22"/>
        </w:rPr>
        <w:t xml:space="preserve">   </w:t>
      </w:r>
      <w:r w:rsidR="006A1D37">
        <w:rPr>
          <w:sz w:val="22"/>
          <w:lang w:val="kk-KZ"/>
        </w:rPr>
        <w:t xml:space="preserve">  </w:t>
      </w:r>
      <w:r w:rsidR="00F918E3" w:rsidRPr="00F918E3">
        <w:rPr>
          <w:sz w:val="22"/>
        </w:rPr>
        <w:t>Other commissions of third parties that were not provided above.</w:t>
      </w:r>
    </w:p>
    <w:p w14:paraId="4CC9A245" w14:textId="77777777" w:rsidR="00A97C0B" w:rsidRPr="004A4051" w:rsidRDefault="00A97C0B" w:rsidP="001939A1">
      <w:pPr>
        <w:numPr>
          <w:ilvl w:val="0"/>
          <w:numId w:val="23"/>
        </w:numPr>
        <w:spacing w:after="120"/>
        <w:ind w:left="-426" w:hanging="283"/>
        <w:jc w:val="both"/>
        <w:rPr>
          <w:bCs/>
          <w:sz w:val="22"/>
          <w:szCs w:val="22"/>
        </w:rPr>
      </w:pPr>
      <w:r w:rsidRPr="004A4051">
        <w:rPr>
          <w:sz w:val="22"/>
        </w:rPr>
        <w:t xml:space="preserve">Any duties, taxes and fees that shall be withheld from the transactions in compliance with the legislation of the country where such transactions are effected, shall be payable by the Client and will not be deemed an obligation of the Company. </w:t>
      </w:r>
    </w:p>
    <w:p w14:paraId="6E630CA0" w14:textId="77777777" w:rsidR="00A97C0B" w:rsidRPr="00ED79A8" w:rsidRDefault="00A97C0B" w:rsidP="001939A1">
      <w:pPr>
        <w:numPr>
          <w:ilvl w:val="0"/>
          <w:numId w:val="23"/>
        </w:numPr>
        <w:spacing w:after="120"/>
        <w:ind w:left="-426" w:hanging="283"/>
        <w:jc w:val="both"/>
        <w:rPr>
          <w:bCs/>
          <w:sz w:val="22"/>
          <w:szCs w:val="22"/>
        </w:rPr>
      </w:pPr>
      <w:r w:rsidRPr="004A4051">
        <w:rPr>
          <w:sz w:val="22"/>
        </w:rPr>
        <w:t>The Company's remuneration for transactions shall be calculated depending on the total volume of that part of the customer’s order that is fulfilled. So, if two or more transactions are concluded under a single order, the fees shall be calculated based on the total amount of the transactions concluded under such order.</w:t>
      </w:r>
    </w:p>
    <w:p w14:paraId="1E523C09" w14:textId="182AFD99" w:rsidR="00ED79A8" w:rsidRPr="002B2407" w:rsidRDefault="002B2407" w:rsidP="001939A1">
      <w:pPr>
        <w:numPr>
          <w:ilvl w:val="0"/>
          <w:numId w:val="23"/>
        </w:numPr>
        <w:spacing w:after="120"/>
        <w:ind w:left="-426" w:hanging="283"/>
        <w:jc w:val="both"/>
        <w:rPr>
          <w:sz w:val="22"/>
        </w:rPr>
      </w:pPr>
      <w:r w:rsidRPr="002B2407">
        <w:rPr>
          <w:sz w:val="22"/>
        </w:rPr>
        <w:t xml:space="preserve">The Company's remuneration for </w:t>
      </w:r>
      <w:r w:rsidR="00E6260A">
        <w:rPr>
          <w:sz w:val="22"/>
        </w:rPr>
        <w:t xml:space="preserve">safekeeping </w:t>
      </w:r>
      <w:r w:rsidRPr="002B2407">
        <w:rPr>
          <w:sz w:val="22"/>
        </w:rPr>
        <w:t>financial instruments is accrued at the official exchange rate of the National Bank of the Republic of Kazakhstan on the date of accrual of the remuneration. In the absence of market quotations, the nominal value in the currency of the issue is used as the market value.</w:t>
      </w:r>
    </w:p>
    <w:p w14:paraId="3410E897" w14:textId="2BAE7558" w:rsidR="00A97C0B" w:rsidRPr="004A4051" w:rsidRDefault="00A97C0B" w:rsidP="001939A1">
      <w:pPr>
        <w:numPr>
          <w:ilvl w:val="0"/>
          <w:numId w:val="23"/>
        </w:numPr>
        <w:spacing w:after="120"/>
        <w:ind w:left="-426" w:hanging="283"/>
        <w:jc w:val="both"/>
        <w:rPr>
          <w:bCs/>
          <w:sz w:val="22"/>
          <w:szCs w:val="22"/>
        </w:rPr>
      </w:pPr>
      <w:r w:rsidRPr="00DB23B7">
        <w:rPr>
          <w:sz w:val="22"/>
        </w:rPr>
        <w:t xml:space="preserve">The Company shall be entitled, in a unilateral manner, to convert the funds from a foreign currency to the national one in an amount sufficient to make any payments </w:t>
      </w:r>
      <w:r w:rsidR="000F7D51">
        <w:rPr>
          <w:sz w:val="22"/>
        </w:rPr>
        <w:t>obligations</w:t>
      </w:r>
      <w:r w:rsidRPr="00DB23B7">
        <w:rPr>
          <w:sz w:val="22"/>
        </w:rPr>
        <w:t>, at the exchange rate established by the servicing bank as of the</w:t>
      </w:r>
      <w:r w:rsidRPr="004A4051">
        <w:rPr>
          <w:sz w:val="22"/>
        </w:rPr>
        <w:t xml:space="preserve"> conversion date.</w:t>
      </w:r>
    </w:p>
    <w:p w14:paraId="61DD5F07" w14:textId="77777777" w:rsidR="00307360" w:rsidRPr="004A4051" w:rsidRDefault="00307360" w:rsidP="00490628">
      <w:pPr>
        <w:jc w:val="right"/>
      </w:pPr>
    </w:p>
    <w:p w14:paraId="752EED84" w14:textId="5C7E0D6D" w:rsidR="00490628" w:rsidRPr="004A4051" w:rsidRDefault="00490628">
      <w:pPr>
        <w:spacing w:after="160" w:line="259" w:lineRule="auto"/>
        <w:rPr>
          <w:color w:val="152C52"/>
          <w:sz w:val="22"/>
          <w:szCs w:val="22"/>
        </w:rPr>
      </w:pPr>
      <w:r w:rsidRPr="004A4051">
        <w:br w:type="page"/>
      </w:r>
    </w:p>
    <w:p w14:paraId="311DD1A1" w14:textId="042A8F0A" w:rsidR="00490628" w:rsidRPr="004A4051" w:rsidRDefault="00490628" w:rsidP="00490628">
      <w:pPr>
        <w:jc w:val="right"/>
      </w:pPr>
      <w:r w:rsidRPr="004A4051">
        <w:lastRenderedPageBreak/>
        <w:t xml:space="preserve">Appendix 3 </w:t>
      </w:r>
    </w:p>
    <w:p w14:paraId="5FFFD7AA" w14:textId="77777777" w:rsidR="00490628" w:rsidRPr="004A4051" w:rsidRDefault="00490628" w:rsidP="00490628">
      <w:pPr>
        <w:jc w:val="right"/>
      </w:pPr>
      <w:r w:rsidRPr="004A4051">
        <w:t xml:space="preserve">to minutes #4 of the Tariff Committee </w:t>
      </w:r>
    </w:p>
    <w:p w14:paraId="75018E37" w14:textId="77777777" w:rsidR="00490628" w:rsidRPr="004A4051" w:rsidRDefault="00490628" w:rsidP="00490628">
      <w:pPr>
        <w:jc w:val="right"/>
      </w:pPr>
      <w:r w:rsidRPr="004A4051">
        <w:t>of SkyBridge Invest JSC</w:t>
      </w:r>
    </w:p>
    <w:p w14:paraId="57B9BEAD" w14:textId="7B6B92EE" w:rsidR="00490628" w:rsidRPr="004A4051" w:rsidRDefault="00490628" w:rsidP="00490628">
      <w:pPr>
        <w:jc w:val="right"/>
      </w:pPr>
      <w:r w:rsidRPr="004A4051">
        <w:t>dated August 23, 2023</w:t>
      </w:r>
    </w:p>
    <w:p w14:paraId="06B2CD44" w14:textId="77777777" w:rsidR="000F7D51" w:rsidRPr="004A4051" w:rsidRDefault="000F7D51" w:rsidP="000F7D51">
      <w:pPr>
        <w:jc w:val="right"/>
      </w:pPr>
      <w:r>
        <w:t>Effective October 3, 2023</w:t>
      </w:r>
    </w:p>
    <w:p w14:paraId="34603F92" w14:textId="77777777" w:rsidR="00490628" w:rsidRPr="004A4051" w:rsidRDefault="00490628" w:rsidP="00490628">
      <w:pPr>
        <w:jc w:val="right"/>
      </w:pPr>
    </w:p>
    <w:p w14:paraId="57F4F66B" w14:textId="512FA8E6" w:rsidR="00490628" w:rsidRPr="004A4051" w:rsidRDefault="00490628" w:rsidP="00490628">
      <w:pPr>
        <w:jc w:val="center"/>
        <w:rPr>
          <w:b/>
          <w:bCs/>
        </w:rPr>
      </w:pPr>
      <w:r w:rsidRPr="004A4051">
        <w:rPr>
          <w:b/>
          <w:sz w:val="22"/>
        </w:rPr>
        <w:t xml:space="preserve">SkyBridge Invest JSC’s </w:t>
      </w:r>
      <w:r w:rsidR="00F528C6" w:rsidRPr="004A4051">
        <w:rPr>
          <w:b/>
          <w:sz w:val="22"/>
        </w:rPr>
        <w:t xml:space="preserve">Brokerage </w:t>
      </w:r>
      <w:r w:rsidRPr="004A4051">
        <w:rPr>
          <w:b/>
          <w:sz w:val="22"/>
        </w:rPr>
        <w:t xml:space="preserve">and </w:t>
      </w:r>
      <w:r w:rsidR="00F528C6" w:rsidRPr="004A4051">
        <w:rPr>
          <w:b/>
          <w:sz w:val="22"/>
        </w:rPr>
        <w:t xml:space="preserve">Nominee Holding Services Tariffs Applicable </w:t>
      </w:r>
      <w:r w:rsidRPr="004A4051">
        <w:rPr>
          <w:b/>
          <w:sz w:val="22"/>
        </w:rPr>
        <w:t xml:space="preserve">to </w:t>
      </w:r>
      <w:r w:rsidR="00F528C6" w:rsidRPr="004A4051">
        <w:rPr>
          <w:b/>
          <w:sz w:val="22"/>
        </w:rPr>
        <w:t xml:space="preserve">Resident Individuals </w:t>
      </w:r>
    </w:p>
    <w:p w14:paraId="6AD5E67C" w14:textId="77777777" w:rsidR="007A0535" w:rsidRPr="004A4051" w:rsidRDefault="007A0535" w:rsidP="007A0535">
      <w:pPr>
        <w:jc w:val="center"/>
        <w:rPr>
          <w:color w:val="152C52"/>
          <w:sz w:val="22"/>
          <w:szCs w:val="22"/>
        </w:rPr>
      </w:pPr>
    </w:p>
    <w:tbl>
      <w:tblPr>
        <w:tblW w:w="10207" w:type="dxa"/>
        <w:tblInd w:w="-577" w:type="dxa"/>
        <w:tblLook w:val="04A0" w:firstRow="1" w:lastRow="0" w:firstColumn="1" w:lastColumn="0" w:noHBand="0" w:noVBand="1"/>
      </w:tblPr>
      <w:tblGrid>
        <w:gridCol w:w="4962"/>
        <w:gridCol w:w="2657"/>
        <w:gridCol w:w="2588"/>
      </w:tblGrid>
      <w:tr w:rsidR="00307360" w:rsidRPr="004A4051" w14:paraId="101D6D4A" w14:textId="77777777" w:rsidTr="00CB1A0C">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5C520557" w14:textId="77777777" w:rsidR="00307360" w:rsidRPr="004A4051" w:rsidRDefault="00307360" w:rsidP="00203149">
            <w:pPr>
              <w:jc w:val="center"/>
              <w:rPr>
                <w:b/>
                <w:sz w:val="20"/>
                <w:szCs w:val="20"/>
              </w:rPr>
            </w:pPr>
            <w:r w:rsidRPr="004A4051">
              <w:rPr>
                <w:b/>
                <w:sz w:val="20"/>
              </w:rPr>
              <w:t>Transaction type</w:t>
            </w:r>
          </w:p>
        </w:tc>
        <w:tc>
          <w:tcPr>
            <w:tcW w:w="5245" w:type="dxa"/>
            <w:gridSpan w:val="2"/>
            <w:tcBorders>
              <w:top w:val="single" w:sz="8" w:space="0" w:color="auto"/>
              <w:left w:val="nil"/>
              <w:bottom w:val="single" w:sz="4" w:space="0" w:color="auto"/>
              <w:right w:val="single" w:sz="4" w:space="0" w:color="auto"/>
            </w:tcBorders>
            <w:shd w:val="clear" w:color="000000" w:fill="BFBFBF"/>
            <w:vAlign w:val="center"/>
            <w:hideMark/>
          </w:tcPr>
          <w:p w14:paraId="51A3B32C" w14:textId="77777777" w:rsidR="00307360" w:rsidRPr="004A4051" w:rsidRDefault="00307360" w:rsidP="00203149">
            <w:pPr>
              <w:jc w:val="center"/>
              <w:rPr>
                <w:b/>
                <w:bCs/>
                <w:sz w:val="20"/>
                <w:szCs w:val="20"/>
              </w:rPr>
            </w:pPr>
            <w:r w:rsidRPr="004A4051">
              <w:rPr>
                <w:b/>
                <w:sz w:val="20"/>
              </w:rPr>
              <w:t>Individual tariffs</w:t>
            </w:r>
          </w:p>
        </w:tc>
      </w:tr>
      <w:tr w:rsidR="00307360" w:rsidRPr="004A4051" w14:paraId="2D3D7E62" w14:textId="77777777" w:rsidTr="00CB1A0C">
        <w:trPr>
          <w:cantSplit/>
          <w:trHeight w:val="424"/>
          <w:tblHeader/>
        </w:trPr>
        <w:tc>
          <w:tcPr>
            <w:tcW w:w="10207" w:type="dxa"/>
            <w:gridSpan w:val="3"/>
            <w:tcBorders>
              <w:top w:val="single" w:sz="8" w:space="0" w:color="auto"/>
              <w:left w:val="single" w:sz="8" w:space="0" w:color="auto"/>
              <w:bottom w:val="single" w:sz="4" w:space="0" w:color="auto"/>
              <w:right w:val="single" w:sz="4" w:space="0" w:color="auto"/>
            </w:tcBorders>
            <w:shd w:val="clear" w:color="auto" w:fill="0070C0"/>
            <w:vAlign w:val="center"/>
          </w:tcPr>
          <w:p w14:paraId="53F65C3D" w14:textId="77777777" w:rsidR="00307360" w:rsidRPr="004A4051" w:rsidRDefault="00307360" w:rsidP="00203149">
            <w:pPr>
              <w:jc w:val="center"/>
              <w:rPr>
                <w:b/>
                <w:bCs/>
                <w:sz w:val="20"/>
                <w:szCs w:val="20"/>
              </w:rPr>
            </w:pPr>
            <w:r w:rsidRPr="004A4051">
              <w:rPr>
                <w:b/>
                <w:color w:val="FFFFFF"/>
                <w:sz w:val="20"/>
              </w:rPr>
              <w:t>Nominee holding services</w:t>
            </w:r>
          </w:p>
        </w:tc>
      </w:tr>
      <w:tr w:rsidR="00307360" w:rsidRPr="004A4051" w14:paraId="124584C1" w14:textId="77777777" w:rsidTr="00CB1A0C">
        <w:trPr>
          <w:trHeight w:val="51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2B26307F" w14:textId="77777777" w:rsidR="00307360" w:rsidRPr="004A4051" w:rsidRDefault="00307360" w:rsidP="00203149">
            <w:pPr>
              <w:rPr>
                <w:sz w:val="20"/>
                <w:szCs w:val="20"/>
              </w:rPr>
            </w:pPr>
            <w:r w:rsidRPr="004A4051">
              <w:rPr>
                <w:sz w:val="20"/>
              </w:rPr>
              <w:t>Opening /management/closing of a customer account</w:t>
            </w:r>
          </w:p>
        </w:tc>
        <w:tc>
          <w:tcPr>
            <w:tcW w:w="5245" w:type="dxa"/>
            <w:gridSpan w:val="2"/>
            <w:tcBorders>
              <w:top w:val="nil"/>
              <w:left w:val="nil"/>
              <w:bottom w:val="single" w:sz="4" w:space="0" w:color="auto"/>
              <w:right w:val="single" w:sz="4" w:space="0" w:color="auto"/>
            </w:tcBorders>
            <w:shd w:val="clear" w:color="auto" w:fill="auto"/>
            <w:vAlign w:val="center"/>
            <w:hideMark/>
          </w:tcPr>
          <w:p w14:paraId="731F4922" w14:textId="77777777" w:rsidR="00307360" w:rsidRPr="004A4051" w:rsidRDefault="00307360" w:rsidP="00203149">
            <w:pPr>
              <w:rPr>
                <w:sz w:val="20"/>
                <w:szCs w:val="20"/>
              </w:rPr>
            </w:pPr>
            <w:r w:rsidRPr="004A4051">
              <w:rPr>
                <w:sz w:val="20"/>
              </w:rPr>
              <w:t>For free</w:t>
            </w:r>
          </w:p>
        </w:tc>
      </w:tr>
      <w:tr w:rsidR="00307360" w:rsidRPr="004A4051" w14:paraId="639457FC" w14:textId="77777777" w:rsidTr="00CB1A0C">
        <w:trPr>
          <w:trHeight w:val="999"/>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002AD11" w14:textId="77777777" w:rsidR="00307360" w:rsidRPr="004A4051" w:rsidRDefault="00307360" w:rsidP="00203149">
            <w:pPr>
              <w:rPr>
                <w:sz w:val="20"/>
                <w:szCs w:val="20"/>
              </w:rPr>
            </w:pPr>
            <w:r w:rsidRPr="004A4051">
              <w:rPr>
                <w:sz w:val="20"/>
              </w:rPr>
              <w:t xml:space="preserve">Putting financial instruments in/withdrawal from nominee holding </w:t>
            </w:r>
          </w:p>
          <w:p w14:paraId="51B62D8E" w14:textId="77777777" w:rsidR="00307360" w:rsidRPr="004A4051" w:rsidRDefault="00307360" w:rsidP="00203149">
            <w:pPr>
              <w:rPr>
                <w:sz w:val="20"/>
                <w:szCs w:val="20"/>
              </w:rPr>
            </w:pPr>
          </w:p>
          <w:p w14:paraId="54FE8C42" w14:textId="77777777" w:rsidR="00307360" w:rsidRPr="004A4051" w:rsidRDefault="00307360" w:rsidP="00203149">
            <w:pPr>
              <w:rPr>
                <w:sz w:val="20"/>
                <w:szCs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14:paraId="44579A7D" w14:textId="77777777" w:rsidR="00307360" w:rsidRPr="004A4051" w:rsidRDefault="00307360" w:rsidP="00307360">
            <w:pPr>
              <w:numPr>
                <w:ilvl w:val="0"/>
                <w:numId w:val="21"/>
              </w:numPr>
              <w:spacing w:after="120"/>
              <w:ind w:left="227" w:hanging="227"/>
              <w:rPr>
                <w:sz w:val="20"/>
                <w:szCs w:val="20"/>
              </w:rPr>
            </w:pPr>
            <w:r w:rsidRPr="004A4051">
              <w:rPr>
                <w:sz w:val="20"/>
              </w:rPr>
              <w:t>Putting a financial instrument of any type – for free,</w:t>
            </w:r>
          </w:p>
          <w:p w14:paraId="6FCE976E" w14:textId="77777777" w:rsidR="00307360" w:rsidRPr="004A4051" w:rsidRDefault="00307360" w:rsidP="00307360">
            <w:pPr>
              <w:numPr>
                <w:ilvl w:val="0"/>
                <w:numId w:val="21"/>
              </w:numPr>
              <w:spacing w:after="120"/>
              <w:ind w:left="227" w:hanging="227"/>
              <w:rPr>
                <w:sz w:val="20"/>
                <w:szCs w:val="20"/>
              </w:rPr>
            </w:pPr>
            <w:r w:rsidRPr="004A4051">
              <w:rPr>
                <w:sz w:val="20"/>
              </w:rPr>
              <w:t>Withdrawal of securities from (per type identified by NIN/ISIN) – 10 MCI</w:t>
            </w:r>
          </w:p>
        </w:tc>
      </w:tr>
      <w:tr w:rsidR="00307360" w:rsidRPr="004A4051" w14:paraId="55433F73" w14:textId="77777777" w:rsidTr="00CB1A0C">
        <w:trPr>
          <w:trHeight w:val="405"/>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4D0056A8" w14:textId="77777777" w:rsidR="00307360" w:rsidRPr="004A4051" w:rsidRDefault="00307360" w:rsidP="00203149">
            <w:pPr>
              <w:rPr>
                <w:sz w:val="20"/>
                <w:szCs w:val="20"/>
              </w:rPr>
            </w:pPr>
            <w:r w:rsidRPr="004A4051">
              <w:rPr>
                <w:sz w:val="20"/>
              </w:rPr>
              <w:t>Money transfer, in Tenge</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21094B64" w14:textId="77777777" w:rsidR="00307360" w:rsidRPr="004A4051" w:rsidRDefault="00307360" w:rsidP="00307360">
            <w:pPr>
              <w:pStyle w:val="a6"/>
              <w:numPr>
                <w:ilvl w:val="0"/>
                <w:numId w:val="26"/>
              </w:numPr>
              <w:ind w:left="169" w:hanging="141"/>
              <w:rPr>
                <w:sz w:val="20"/>
                <w:szCs w:val="20"/>
              </w:rPr>
            </w:pPr>
            <w:r w:rsidRPr="004A4051">
              <w:rPr>
                <w:sz w:val="20"/>
              </w:rPr>
              <w:t>Before 01.00 p.m. – 0.15%, up to 1 MCI</w:t>
            </w:r>
          </w:p>
          <w:p w14:paraId="7C9E056E" w14:textId="77777777" w:rsidR="00307360" w:rsidRPr="004A4051" w:rsidRDefault="00307360" w:rsidP="00307360">
            <w:pPr>
              <w:pStyle w:val="a6"/>
              <w:numPr>
                <w:ilvl w:val="0"/>
                <w:numId w:val="26"/>
              </w:numPr>
              <w:ind w:left="169" w:hanging="141"/>
              <w:rPr>
                <w:sz w:val="20"/>
                <w:szCs w:val="20"/>
              </w:rPr>
            </w:pPr>
            <w:r w:rsidRPr="004A4051">
              <w:rPr>
                <w:sz w:val="20"/>
              </w:rPr>
              <w:t>After 01.00 p.m. – 0.25%, up to 2 MCI</w:t>
            </w:r>
          </w:p>
        </w:tc>
      </w:tr>
      <w:tr w:rsidR="00307360" w:rsidRPr="004A4051" w14:paraId="3D983F76" w14:textId="77777777" w:rsidTr="00CB1A0C">
        <w:trPr>
          <w:trHeight w:val="613"/>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0FE60D99" w14:textId="77777777" w:rsidR="00307360" w:rsidRPr="004A4051" w:rsidRDefault="00307360" w:rsidP="00203149">
            <w:pPr>
              <w:rPr>
                <w:sz w:val="20"/>
                <w:szCs w:val="20"/>
              </w:rPr>
            </w:pPr>
            <w:r w:rsidRPr="004A4051">
              <w:rPr>
                <w:sz w:val="20"/>
              </w:rPr>
              <w:t>Money transfer, in a foreign currency</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07A472DD" w14:textId="77777777" w:rsidR="00307360" w:rsidRPr="004A4051" w:rsidRDefault="00307360" w:rsidP="00307360">
            <w:pPr>
              <w:pStyle w:val="a6"/>
              <w:numPr>
                <w:ilvl w:val="0"/>
                <w:numId w:val="27"/>
              </w:numPr>
              <w:ind w:left="169" w:hanging="141"/>
              <w:rPr>
                <w:b/>
                <w:bCs/>
                <w:sz w:val="20"/>
                <w:szCs w:val="20"/>
              </w:rPr>
            </w:pPr>
            <w:r w:rsidRPr="004A4051">
              <w:rPr>
                <w:sz w:val="20"/>
              </w:rPr>
              <w:t>Before 03.00 p.m. – 0.35%, at least 20,000 Tenge, but not more than 135,000 Tenge</w:t>
            </w:r>
          </w:p>
          <w:p w14:paraId="4AD73850" w14:textId="77777777" w:rsidR="00307360" w:rsidRPr="004A4051" w:rsidDel="008B72D8" w:rsidRDefault="00307360" w:rsidP="00307360">
            <w:pPr>
              <w:pStyle w:val="a6"/>
              <w:numPr>
                <w:ilvl w:val="0"/>
                <w:numId w:val="27"/>
              </w:numPr>
              <w:ind w:left="169" w:hanging="141"/>
              <w:rPr>
                <w:sz w:val="20"/>
                <w:szCs w:val="20"/>
              </w:rPr>
            </w:pPr>
            <w:r w:rsidRPr="004A4051">
              <w:rPr>
                <w:sz w:val="20"/>
              </w:rPr>
              <w:t>After 03.00 p.m. – 0.55%, at least 60,000 Tenge, but not more than 155,000 Tenge</w:t>
            </w:r>
          </w:p>
        </w:tc>
      </w:tr>
      <w:tr w:rsidR="00307360" w:rsidRPr="004A4051" w14:paraId="4410DAEC" w14:textId="77777777" w:rsidTr="00CB1A0C">
        <w:trPr>
          <w:trHeight w:val="1036"/>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4C76903" w14:textId="77777777" w:rsidR="00307360" w:rsidRPr="004A4051" w:rsidRDefault="00307360" w:rsidP="00203149">
            <w:pPr>
              <w:rPr>
                <w:sz w:val="20"/>
                <w:szCs w:val="20"/>
              </w:rPr>
            </w:pPr>
            <w:r w:rsidRPr="004A4051">
              <w:rPr>
                <w:sz w:val="20"/>
              </w:rPr>
              <w:t>Issue of periodic statements - on a monthly basis (statement of customer account as of the end of month, customer account history report for the reporting month and other statements as required by the laws of the RoK)</w:t>
            </w:r>
          </w:p>
        </w:tc>
        <w:tc>
          <w:tcPr>
            <w:tcW w:w="5245" w:type="dxa"/>
            <w:gridSpan w:val="2"/>
            <w:tcBorders>
              <w:top w:val="nil"/>
              <w:left w:val="nil"/>
              <w:bottom w:val="single" w:sz="4" w:space="0" w:color="auto"/>
              <w:right w:val="single" w:sz="4" w:space="0" w:color="auto"/>
            </w:tcBorders>
            <w:shd w:val="clear" w:color="auto" w:fill="auto"/>
            <w:vAlign w:val="center"/>
            <w:hideMark/>
          </w:tcPr>
          <w:p w14:paraId="41145515" w14:textId="77777777" w:rsidR="00307360" w:rsidRPr="004A4051" w:rsidRDefault="00307360" w:rsidP="00203149">
            <w:pPr>
              <w:rPr>
                <w:sz w:val="20"/>
                <w:szCs w:val="20"/>
              </w:rPr>
            </w:pPr>
            <w:r w:rsidRPr="004A4051">
              <w:rPr>
                <w:sz w:val="20"/>
              </w:rPr>
              <w:t>For free</w:t>
            </w:r>
          </w:p>
        </w:tc>
      </w:tr>
      <w:tr w:rsidR="00307360" w:rsidRPr="004A4051" w14:paraId="08B82EF1" w14:textId="77777777" w:rsidTr="00CB1A0C">
        <w:trPr>
          <w:trHeight w:val="79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5AB76D6" w14:textId="77777777" w:rsidR="00307360" w:rsidRPr="004A4051" w:rsidRDefault="00307360" w:rsidP="00203149">
            <w:pPr>
              <w:rPr>
                <w:sz w:val="20"/>
                <w:szCs w:val="20"/>
              </w:rPr>
            </w:pPr>
            <w:r w:rsidRPr="004A4051">
              <w:rPr>
                <w:sz w:val="20"/>
              </w:rPr>
              <w:t>Conversion of a financial instrument (conversion from depositary receipts to shares, from shares to depositary receipts)</w:t>
            </w:r>
          </w:p>
        </w:tc>
        <w:tc>
          <w:tcPr>
            <w:tcW w:w="5245" w:type="dxa"/>
            <w:gridSpan w:val="2"/>
            <w:tcBorders>
              <w:top w:val="nil"/>
              <w:left w:val="nil"/>
              <w:bottom w:val="single" w:sz="4" w:space="0" w:color="auto"/>
              <w:right w:val="single" w:sz="4" w:space="0" w:color="auto"/>
            </w:tcBorders>
            <w:shd w:val="clear" w:color="auto" w:fill="auto"/>
            <w:vAlign w:val="center"/>
            <w:hideMark/>
          </w:tcPr>
          <w:p w14:paraId="2DFAC72F" w14:textId="77777777" w:rsidR="00307360" w:rsidRPr="004A4051" w:rsidRDefault="00307360" w:rsidP="00203149">
            <w:pPr>
              <w:rPr>
                <w:sz w:val="20"/>
                <w:szCs w:val="20"/>
              </w:rPr>
            </w:pPr>
            <w:r w:rsidRPr="004A4051">
              <w:rPr>
                <w:sz w:val="20"/>
              </w:rPr>
              <w:t>1.5 Tenge per depositary receipt, at least 5 MCI</w:t>
            </w:r>
          </w:p>
        </w:tc>
      </w:tr>
      <w:tr w:rsidR="00307360" w:rsidRPr="004A4051" w14:paraId="3232E889" w14:textId="77777777" w:rsidTr="00CB1A0C">
        <w:trPr>
          <w:trHeight w:val="421"/>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CED975D" w14:textId="77777777" w:rsidR="00307360" w:rsidRPr="004A4051" w:rsidRDefault="00307360" w:rsidP="00203149">
            <w:pPr>
              <w:rPr>
                <w:sz w:val="20"/>
                <w:szCs w:val="20"/>
              </w:rPr>
            </w:pPr>
            <w:r w:rsidRPr="004A4051">
              <w:rPr>
                <w:sz w:val="20"/>
              </w:rPr>
              <w:t>Registration of an encumbrance/pledge</w:t>
            </w:r>
          </w:p>
        </w:tc>
        <w:tc>
          <w:tcPr>
            <w:tcW w:w="5245" w:type="dxa"/>
            <w:gridSpan w:val="2"/>
            <w:tcBorders>
              <w:top w:val="nil"/>
              <w:left w:val="nil"/>
              <w:bottom w:val="single" w:sz="4" w:space="0" w:color="auto"/>
              <w:right w:val="single" w:sz="4" w:space="0" w:color="auto"/>
            </w:tcBorders>
            <w:shd w:val="clear" w:color="auto" w:fill="auto"/>
            <w:vAlign w:val="center"/>
            <w:hideMark/>
          </w:tcPr>
          <w:p w14:paraId="61D48D05" w14:textId="77777777" w:rsidR="00307360" w:rsidRPr="004A4051" w:rsidRDefault="00307360" w:rsidP="00203149">
            <w:pPr>
              <w:rPr>
                <w:sz w:val="20"/>
                <w:szCs w:val="20"/>
              </w:rPr>
            </w:pPr>
            <w:r w:rsidRPr="004A4051">
              <w:rPr>
                <w:sz w:val="20"/>
              </w:rPr>
              <w:t>0.2% of the transaction amount, at least 5 MCI</w:t>
            </w:r>
          </w:p>
        </w:tc>
      </w:tr>
      <w:tr w:rsidR="00307360" w:rsidRPr="004A4051" w14:paraId="49421417" w14:textId="77777777" w:rsidTr="00CB1A0C">
        <w:trPr>
          <w:trHeight w:val="602"/>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60FA2F0" w14:textId="77777777" w:rsidR="00307360" w:rsidRPr="004A4051" w:rsidRDefault="00307360" w:rsidP="00203149">
            <w:pPr>
              <w:rPr>
                <w:sz w:val="20"/>
                <w:szCs w:val="20"/>
              </w:rPr>
            </w:pPr>
            <w:r w:rsidRPr="004A4051">
              <w:rPr>
                <w:sz w:val="20"/>
              </w:rPr>
              <w:t>Dematerialization of a financial instrument</w:t>
            </w:r>
          </w:p>
        </w:tc>
        <w:tc>
          <w:tcPr>
            <w:tcW w:w="5245" w:type="dxa"/>
            <w:gridSpan w:val="2"/>
            <w:tcBorders>
              <w:top w:val="nil"/>
              <w:left w:val="nil"/>
              <w:bottom w:val="single" w:sz="4" w:space="0" w:color="auto"/>
              <w:right w:val="single" w:sz="4" w:space="0" w:color="auto"/>
            </w:tcBorders>
            <w:shd w:val="clear" w:color="auto" w:fill="auto"/>
            <w:vAlign w:val="center"/>
            <w:hideMark/>
          </w:tcPr>
          <w:p w14:paraId="00EAC2DC" w14:textId="77777777" w:rsidR="00307360" w:rsidRPr="004A4051" w:rsidRDefault="00307360" w:rsidP="00203149">
            <w:pPr>
              <w:rPr>
                <w:sz w:val="20"/>
                <w:szCs w:val="20"/>
              </w:rPr>
            </w:pPr>
            <w:r w:rsidRPr="004A4051">
              <w:rPr>
                <w:sz w:val="20"/>
              </w:rPr>
              <w:t>0.02% of the financial instrument’s fair market value, at least 15 MCI</w:t>
            </w:r>
          </w:p>
        </w:tc>
      </w:tr>
      <w:tr w:rsidR="00307360" w:rsidRPr="004A4051" w14:paraId="149D13F8" w14:textId="77777777" w:rsidTr="00CB1A0C">
        <w:trPr>
          <w:trHeight w:val="627"/>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709899B" w14:textId="77777777" w:rsidR="00307360" w:rsidRPr="004A4051" w:rsidRDefault="00307360" w:rsidP="00203149">
            <w:pPr>
              <w:rPr>
                <w:sz w:val="20"/>
                <w:szCs w:val="20"/>
              </w:rPr>
            </w:pPr>
            <w:r w:rsidRPr="004A4051">
              <w:rPr>
                <w:sz w:val="20"/>
              </w:rPr>
              <w:t>Proxy voting on corporate actions</w:t>
            </w:r>
          </w:p>
        </w:tc>
        <w:tc>
          <w:tcPr>
            <w:tcW w:w="5245" w:type="dxa"/>
            <w:gridSpan w:val="2"/>
            <w:tcBorders>
              <w:top w:val="nil"/>
              <w:left w:val="nil"/>
              <w:bottom w:val="single" w:sz="4" w:space="0" w:color="auto"/>
              <w:right w:val="single" w:sz="4" w:space="0" w:color="auto"/>
            </w:tcBorders>
            <w:shd w:val="clear" w:color="auto" w:fill="auto"/>
            <w:vAlign w:val="center"/>
            <w:hideMark/>
          </w:tcPr>
          <w:p w14:paraId="13F0B6AF" w14:textId="77777777" w:rsidR="00307360" w:rsidRPr="004A4051" w:rsidRDefault="00307360" w:rsidP="00203149">
            <w:pPr>
              <w:rPr>
                <w:sz w:val="20"/>
                <w:szCs w:val="20"/>
              </w:rPr>
            </w:pPr>
            <w:r w:rsidRPr="004A4051">
              <w:rPr>
                <w:sz w:val="20"/>
              </w:rPr>
              <w:t>5 MCI</w:t>
            </w:r>
          </w:p>
        </w:tc>
      </w:tr>
      <w:tr w:rsidR="00307360" w:rsidRPr="004A4051" w14:paraId="2E10E2FC" w14:textId="77777777" w:rsidTr="00CB1A0C">
        <w:trPr>
          <w:trHeight w:val="627"/>
        </w:trPr>
        <w:tc>
          <w:tcPr>
            <w:tcW w:w="4962" w:type="dxa"/>
            <w:tcBorders>
              <w:top w:val="nil"/>
              <w:left w:val="single" w:sz="8" w:space="0" w:color="auto"/>
              <w:bottom w:val="single" w:sz="4" w:space="0" w:color="auto"/>
              <w:right w:val="single" w:sz="4" w:space="0" w:color="auto"/>
            </w:tcBorders>
            <w:shd w:val="clear" w:color="auto" w:fill="auto"/>
            <w:vAlign w:val="center"/>
          </w:tcPr>
          <w:p w14:paraId="6913D401" w14:textId="4C411495" w:rsidR="00307360" w:rsidRPr="004A4051" w:rsidRDefault="001B5172" w:rsidP="00203149">
            <w:pPr>
              <w:rPr>
                <w:sz w:val="20"/>
                <w:szCs w:val="20"/>
              </w:rPr>
            </w:pPr>
            <w:r w:rsidRPr="004A4051">
              <w:rPr>
                <w:sz w:val="20"/>
              </w:rPr>
              <w:t>Safe</w:t>
            </w:r>
            <w:r>
              <w:rPr>
                <w:sz w:val="20"/>
              </w:rPr>
              <w:t>keeping of securities</w:t>
            </w:r>
            <w:r w:rsidRPr="004A4051">
              <w:rPr>
                <w:sz w:val="20"/>
              </w:rPr>
              <w:t xml:space="preserve"> </w:t>
            </w:r>
            <w:r w:rsidR="00307360" w:rsidRPr="004A4051">
              <w:rPr>
                <w:sz w:val="20"/>
              </w:rPr>
              <w:t>at Central Securities Depository JSC - depending on the volume of assets</w:t>
            </w:r>
          </w:p>
        </w:tc>
        <w:tc>
          <w:tcPr>
            <w:tcW w:w="5245" w:type="dxa"/>
            <w:gridSpan w:val="2"/>
            <w:tcBorders>
              <w:top w:val="nil"/>
              <w:left w:val="nil"/>
              <w:bottom w:val="single" w:sz="4" w:space="0" w:color="auto"/>
              <w:right w:val="single" w:sz="4" w:space="0" w:color="auto"/>
            </w:tcBorders>
            <w:shd w:val="clear" w:color="auto" w:fill="auto"/>
            <w:vAlign w:val="center"/>
          </w:tcPr>
          <w:p w14:paraId="38B90C12" w14:textId="56D9E0B1" w:rsidR="00307360" w:rsidRPr="004A4051" w:rsidRDefault="00307360" w:rsidP="00203149">
            <w:pPr>
              <w:rPr>
                <w:sz w:val="20"/>
                <w:szCs w:val="20"/>
              </w:rPr>
            </w:pPr>
            <w:r w:rsidRPr="004A4051">
              <w:rPr>
                <w:sz w:val="20"/>
              </w:rPr>
              <w:t>0.0</w:t>
            </w:r>
            <w:r w:rsidR="00134F0B">
              <w:rPr>
                <w:sz w:val="20"/>
                <w:lang w:val="ru-RU"/>
              </w:rPr>
              <w:t>3</w:t>
            </w:r>
            <w:r w:rsidRPr="004A4051">
              <w:rPr>
                <w:sz w:val="20"/>
              </w:rPr>
              <w:t>% p.a.</w:t>
            </w:r>
          </w:p>
        </w:tc>
      </w:tr>
      <w:tr w:rsidR="00307360" w:rsidRPr="004A4051" w14:paraId="1889FEE6" w14:textId="77777777" w:rsidTr="00CB1A0C">
        <w:trPr>
          <w:trHeight w:val="411"/>
        </w:trPr>
        <w:tc>
          <w:tcPr>
            <w:tcW w:w="4962" w:type="dxa"/>
            <w:tcBorders>
              <w:top w:val="nil"/>
              <w:left w:val="single" w:sz="8" w:space="0" w:color="auto"/>
              <w:bottom w:val="single" w:sz="4" w:space="0" w:color="auto"/>
              <w:right w:val="single" w:sz="4" w:space="0" w:color="auto"/>
            </w:tcBorders>
            <w:shd w:val="clear" w:color="auto" w:fill="auto"/>
            <w:vAlign w:val="center"/>
          </w:tcPr>
          <w:p w14:paraId="58E0AC38" w14:textId="06B206B3" w:rsidR="00307360" w:rsidRPr="004A4051" w:rsidRDefault="001B5172" w:rsidP="00203149">
            <w:pPr>
              <w:rPr>
                <w:sz w:val="20"/>
                <w:szCs w:val="20"/>
              </w:rPr>
            </w:pPr>
            <w:r w:rsidRPr="004A4051">
              <w:rPr>
                <w:sz w:val="20"/>
              </w:rPr>
              <w:t>Safe</w:t>
            </w:r>
            <w:r>
              <w:rPr>
                <w:sz w:val="20"/>
              </w:rPr>
              <w:t>keeping of securities</w:t>
            </w:r>
            <w:r w:rsidRPr="004A4051">
              <w:rPr>
                <w:sz w:val="20"/>
              </w:rPr>
              <w:t xml:space="preserve"> </w:t>
            </w:r>
            <w:r w:rsidR="00307360" w:rsidRPr="004A4051">
              <w:rPr>
                <w:sz w:val="20"/>
              </w:rPr>
              <w:t>at custodian banks - depending on the volume of assets</w:t>
            </w:r>
          </w:p>
        </w:tc>
        <w:tc>
          <w:tcPr>
            <w:tcW w:w="5245" w:type="dxa"/>
            <w:gridSpan w:val="2"/>
            <w:tcBorders>
              <w:top w:val="nil"/>
              <w:left w:val="nil"/>
              <w:bottom w:val="single" w:sz="4" w:space="0" w:color="auto"/>
              <w:right w:val="single" w:sz="4" w:space="0" w:color="auto"/>
            </w:tcBorders>
            <w:shd w:val="clear" w:color="auto" w:fill="auto"/>
            <w:vAlign w:val="center"/>
          </w:tcPr>
          <w:p w14:paraId="3E3BD5E8" w14:textId="77777777" w:rsidR="00307360" w:rsidRPr="004A4051" w:rsidRDefault="00307360" w:rsidP="00203149">
            <w:pPr>
              <w:rPr>
                <w:sz w:val="20"/>
                <w:szCs w:val="20"/>
              </w:rPr>
            </w:pPr>
            <w:r w:rsidRPr="004A4051">
              <w:rPr>
                <w:sz w:val="20"/>
              </w:rPr>
              <w:t>0.2% p.a.</w:t>
            </w:r>
          </w:p>
        </w:tc>
      </w:tr>
      <w:tr w:rsidR="00307360" w:rsidRPr="004A4051" w14:paraId="23D5818B" w14:textId="77777777" w:rsidTr="00CB1A0C">
        <w:trPr>
          <w:trHeight w:val="423"/>
        </w:trPr>
        <w:tc>
          <w:tcPr>
            <w:tcW w:w="10207" w:type="dxa"/>
            <w:gridSpan w:val="3"/>
            <w:tcBorders>
              <w:top w:val="nil"/>
              <w:left w:val="single" w:sz="8" w:space="0" w:color="auto"/>
              <w:bottom w:val="single" w:sz="4" w:space="0" w:color="auto"/>
              <w:right w:val="single" w:sz="4" w:space="0" w:color="auto"/>
            </w:tcBorders>
            <w:shd w:val="clear" w:color="auto" w:fill="0070C0"/>
            <w:vAlign w:val="center"/>
          </w:tcPr>
          <w:p w14:paraId="01047A53" w14:textId="77777777" w:rsidR="00307360" w:rsidRPr="004A4051" w:rsidRDefault="00307360" w:rsidP="00203149">
            <w:pPr>
              <w:jc w:val="center"/>
              <w:rPr>
                <w:sz w:val="20"/>
                <w:szCs w:val="20"/>
              </w:rPr>
            </w:pPr>
            <w:r w:rsidRPr="004A4051">
              <w:rPr>
                <w:b/>
                <w:color w:val="FFFFFF"/>
                <w:sz w:val="20"/>
              </w:rPr>
              <w:t>Brokerage services</w:t>
            </w:r>
          </w:p>
        </w:tc>
      </w:tr>
      <w:tr w:rsidR="00307360" w:rsidRPr="004A4051" w14:paraId="1DA9F03E" w14:textId="77777777" w:rsidTr="00CB1A0C">
        <w:trPr>
          <w:trHeight w:val="692"/>
        </w:trPr>
        <w:tc>
          <w:tcPr>
            <w:tcW w:w="4962" w:type="dxa"/>
            <w:tcBorders>
              <w:top w:val="nil"/>
              <w:left w:val="single" w:sz="8" w:space="0" w:color="auto"/>
              <w:bottom w:val="single" w:sz="4" w:space="0" w:color="auto"/>
              <w:right w:val="single" w:sz="4" w:space="0" w:color="auto"/>
            </w:tcBorders>
            <w:shd w:val="clear" w:color="auto" w:fill="auto"/>
            <w:vAlign w:val="center"/>
          </w:tcPr>
          <w:p w14:paraId="50D77E99" w14:textId="77777777" w:rsidR="00307360" w:rsidRPr="004A4051" w:rsidRDefault="00307360" w:rsidP="00203149">
            <w:pPr>
              <w:rPr>
                <w:sz w:val="20"/>
                <w:szCs w:val="20"/>
              </w:rPr>
            </w:pPr>
          </w:p>
        </w:tc>
        <w:tc>
          <w:tcPr>
            <w:tcW w:w="2657" w:type="dxa"/>
            <w:tcBorders>
              <w:top w:val="nil"/>
              <w:left w:val="nil"/>
              <w:bottom w:val="single" w:sz="4" w:space="0" w:color="auto"/>
              <w:right w:val="single" w:sz="4" w:space="0" w:color="auto"/>
            </w:tcBorders>
            <w:shd w:val="clear" w:color="auto" w:fill="auto"/>
            <w:vAlign w:val="center"/>
          </w:tcPr>
          <w:p w14:paraId="76209566" w14:textId="77777777" w:rsidR="00307360" w:rsidRPr="004A4051" w:rsidRDefault="00307360" w:rsidP="00203149">
            <w:pPr>
              <w:ind w:left="227"/>
              <w:rPr>
                <w:sz w:val="20"/>
                <w:szCs w:val="20"/>
              </w:rPr>
            </w:pPr>
            <w:r w:rsidRPr="004A4051">
              <w:rPr>
                <w:b/>
                <w:color w:val="000000" w:themeColor="text1"/>
                <w:sz w:val="20"/>
              </w:rPr>
              <w:t>If paper-based instructions are given</w:t>
            </w:r>
          </w:p>
        </w:tc>
        <w:tc>
          <w:tcPr>
            <w:tcW w:w="2588" w:type="dxa"/>
            <w:tcBorders>
              <w:top w:val="nil"/>
              <w:left w:val="nil"/>
              <w:bottom w:val="single" w:sz="4" w:space="0" w:color="auto"/>
              <w:right w:val="single" w:sz="4" w:space="0" w:color="auto"/>
            </w:tcBorders>
            <w:shd w:val="clear" w:color="auto" w:fill="auto"/>
            <w:vAlign w:val="center"/>
          </w:tcPr>
          <w:p w14:paraId="5B105C18" w14:textId="77777777" w:rsidR="00307360" w:rsidRPr="004A4051" w:rsidRDefault="00307360" w:rsidP="00203149">
            <w:pPr>
              <w:rPr>
                <w:sz w:val="20"/>
                <w:szCs w:val="20"/>
              </w:rPr>
            </w:pPr>
            <w:r w:rsidRPr="004A4051">
              <w:rPr>
                <w:b/>
                <w:color w:val="000000" w:themeColor="text1"/>
                <w:sz w:val="20"/>
              </w:rPr>
              <w:t>Electronically via a trading platform</w:t>
            </w:r>
          </w:p>
        </w:tc>
      </w:tr>
      <w:tr w:rsidR="00307360" w:rsidRPr="004A4051" w14:paraId="6587B14F" w14:textId="77777777" w:rsidTr="00CB1A0C">
        <w:trPr>
          <w:trHeight w:val="66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B72471A" w14:textId="77777777" w:rsidR="00307360" w:rsidRPr="004A4051" w:rsidRDefault="00307360" w:rsidP="00203149">
            <w:pPr>
              <w:rPr>
                <w:sz w:val="20"/>
                <w:szCs w:val="20"/>
              </w:rPr>
            </w:pPr>
            <w:r w:rsidRPr="004A4051">
              <w:rPr>
                <w:sz w:val="20"/>
              </w:rPr>
              <w:t>Purchase/sale of financial instruments in the local markets - depending on the transaction amount</w:t>
            </w:r>
          </w:p>
          <w:p w14:paraId="0A1E7C5A" w14:textId="77777777" w:rsidR="00307360" w:rsidRPr="004A4051" w:rsidRDefault="00307360" w:rsidP="00203149">
            <w:pPr>
              <w:rPr>
                <w:sz w:val="20"/>
                <w:szCs w:val="20"/>
              </w:rPr>
            </w:pPr>
          </w:p>
        </w:tc>
        <w:tc>
          <w:tcPr>
            <w:tcW w:w="2657" w:type="dxa"/>
            <w:tcBorders>
              <w:top w:val="nil"/>
              <w:left w:val="nil"/>
              <w:bottom w:val="single" w:sz="4" w:space="0" w:color="auto"/>
              <w:right w:val="single" w:sz="4" w:space="0" w:color="auto"/>
            </w:tcBorders>
            <w:shd w:val="clear" w:color="auto" w:fill="auto"/>
            <w:vAlign w:val="center"/>
            <w:hideMark/>
          </w:tcPr>
          <w:p w14:paraId="4E953C3F" w14:textId="77777777" w:rsidR="00307360" w:rsidRPr="004A4051" w:rsidRDefault="00307360" w:rsidP="00203149">
            <w:pPr>
              <w:ind w:left="227"/>
              <w:rPr>
                <w:sz w:val="20"/>
                <w:szCs w:val="20"/>
              </w:rPr>
            </w:pPr>
            <w:r w:rsidRPr="004A4051">
              <w:rPr>
                <w:sz w:val="20"/>
              </w:rPr>
              <w:t>0.15%, at least 2 MCI</w:t>
            </w:r>
          </w:p>
        </w:tc>
        <w:tc>
          <w:tcPr>
            <w:tcW w:w="2588" w:type="dxa"/>
            <w:tcBorders>
              <w:top w:val="nil"/>
              <w:left w:val="nil"/>
              <w:bottom w:val="single" w:sz="4" w:space="0" w:color="auto"/>
              <w:right w:val="single" w:sz="4" w:space="0" w:color="auto"/>
            </w:tcBorders>
            <w:shd w:val="clear" w:color="auto" w:fill="auto"/>
            <w:vAlign w:val="center"/>
          </w:tcPr>
          <w:p w14:paraId="4E351587" w14:textId="77777777" w:rsidR="00307360" w:rsidRPr="004A4051" w:rsidRDefault="00307360" w:rsidP="00203149">
            <w:pPr>
              <w:spacing w:before="120"/>
              <w:rPr>
                <w:sz w:val="20"/>
                <w:szCs w:val="20"/>
              </w:rPr>
            </w:pPr>
            <w:r w:rsidRPr="004A4051">
              <w:rPr>
                <w:sz w:val="20"/>
              </w:rPr>
              <w:t>0.1% of amount, at least 1 MCI</w:t>
            </w:r>
          </w:p>
        </w:tc>
      </w:tr>
      <w:tr w:rsidR="00307360" w:rsidRPr="004A4051" w14:paraId="1C53A1E6" w14:textId="77777777" w:rsidTr="00CB1A0C">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18AA" w14:textId="77777777" w:rsidR="00307360" w:rsidRPr="004A4051" w:rsidRDefault="00307360" w:rsidP="00203149">
            <w:pPr>
              <w:rPr>
                <w:sz w:val="20"/>
                <w:szCs w:val="20"/>
              </w:rPr>
            </w:pPr>
            <w:r w:rsidRPr="004A4051">
              <w:rPr>
                <w:sz w:val="20"/>
              </w:rPr>
              <w:t>Purchase/sale of financial instruments in the over-the-counter/international market - depending on the transaction amount</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14:paraId="1580F9FE" w14:textId="77777777" w:rsidR="00307360" w:rsidRPr="004A4051" w:rsidRDefault="00307360" w:rsidP="00307360">
            <w:pPr>
              <w:numPr>
                <w:ilvl w:val="0"/>
                <w:numId w:val="21"/>
              </w:numPr>
              <w:ind w:left="319" w:hanging="283"/>
              <w:rPr>
                <w:sz w:val="20"/>
                <w:szCs w:val="20"/>
              </w:rPr>
            </w:pPr>
            <w:r w:rsidRPr="004A4051">
              <w:rPr>
                <w:sz w:val="20"/>
              </w:rPr>
              <w:t xml:space="preserve">0.25% if up to 45 million Tenge, at least 3 MCI </w:t>
            </w:r>
          </w:p>
          <w:p w14:paraId="10033CA6" w14:textId="77777777" w:rsidR="00307360" w:rsidRPr="004A4051" w:rsidRDefault="00307360" w:rsidP="00307360">
            <w:pPr>
              <w:numPr>
                <w:ilvl w:val="0"/>
                <w:numId w:val="21"/>
              </w:numPr>
              <w:ind w:left="319" w:hanging="283"/>
              <w:rPr>
                <w:sz w:val="20"/>
                <w:szCs w:val="20"/>
              </w:rPr>
            </w:pPr>
            <w:r w:rsidRPr="004A4051">
              <w:rPr>
                <w:sz w:val="20"/>
              </w:rPr>
              <w:t>0.15% if over 45 million Tenge</w:t>
            </w:r>
          </w:p>
        </w:tc>
        <w:tc>
          <w:tcPr>
            <w:tcW w:w="2588" w:type="dxa"/>
            <w:tcBorders>
              <w:top w:val="single" w:sz="4" w:space="0" w:color="auto"/>
              <w:left w:val="nil"/>
              <w:bottom w:val="single" w:sz="4" w:space="0" w:color="auto"/>
              <w:right w:val="single" w:sz="4" w:space="0" w:color="auto"/>
            </w:tcBorders>
            <w:shd w:val="clear" w:color="auto" w:fill="auto"/>
            <w:vAlign w:val="center"/>
          </w:tcPr>
          <w:p w14:paraId="673A68B2" w14:textId="77777777" w:rsidR="00307360" w:rsidRPr="004A4051" w:rsidRDefault="00307360" w:rsidP="00203149">
            <w:pPr>
              <w:rPr>
                <w:sz w:val="20"/>
                <w:szCs w:val="20"/>
              </w:rPr>
            </w:pPr>
            <w:r w:rsidRPr="004A4051">
              <w:rPr>
                <w:sz w:val="20"/>
              </w:rPr>
              <w:t xml:space="preserve">0.15% of the amount, </w:t>
            </w:r>
          </w:p>
          <w:p w14:paraId="46CF5DF0" w14:textId="77777777" w:rsidR="00307360" w:rsidRPr="004A4051" w:rsidRDefault="00307360" w:rsidP="00203149">
            <w:pPr>
              <w:rPr>
                <w:sz w:val="20"/>
                <w:szCs w:val="20"/>
              </w:rPr>
            </w:pPr>
            <w:r w:rsidRPr="004A4051">
              <w:rPr>
                <w:sz w:val="20"/>
              </w:rPr>
              <w:t xml:space="preserve">at least 2 MCI </w:t>
            </w:r>
          </w:p>
        </w:tc>
      </w:tr>
      <w:tr w:rsidR="00307360" w:rsidRPr="004A4051" w14:paraId="4D792D08" w14:textId="77777777" w:rsidTr="00CB1A0C">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4F76A2A3" w14:textId="77777777" w:rsidR="00307360" w:rsidRPr="004A4051" w:rsidRDefault="00307360" w:rsidP="00203149">
            <w:pPr>
              <w:spacing w:before="120" w:after="120"/>
              <w:rPr>
                <w:sz w:val="20"/>
                <w:szCs w:val="20"/>
              </w:rPr>
            </w:pPr>
            <w:r w:rsidRPr="004A4051">
              <w:rPr>
                <w:sz w:val="20"/>
              </w:rPr>
              <w:lastRenderedPageBreak/>
              <w:t>REPO transactions</w:t>
            </w:r>
          </w:p>
          <w:p w14:paraId="154A15E4" w14:textId="77777777" w:rsidR="00307360" w:rsidRPr="004A4051" w:rsidRDefault="00307360" w:rsidP="00203149">
            <w:pPr>
              <w:rPr>
                <w:sz w:val="20"/>
                <w:szCs w:val="20"/>
              </w:rPr>
            </w:pPr>
            <w:r w:rsidRPr="004A4051">
              <w:rPr>
                <w:sz w:val="20"/>
              </w:rPr>
              <w:t>in case of a reverse REPO operation (placement of funds) – as a percentage of the customer’s income;</w:t>
            </w:r>
          </w:p>
          <w:p w14:paraId="56369B07" w14:textId="77777777" w:rsidR="00307360" w:rsidRPr="004A4051" w:rsidRDefault="00307360" w:rsidP="00203149">
            <w:pPr>
              <w:rPr>
                <w:sz w:val="20"/>
                <w:szCs w:val="20"/>
              </w:rPr>
            </w:pPr>
          </w:p>
          <w:p w14:paraId="07E63529" w14:textId="77777777" w:rsidR="00307360" w:rsidRPr="004A4051" w:rsidDel="00F33065" w:rsidRDefault="00307360" w:rsidP="00203149">
            <w:pPr>
              <w:rPr>
                <w:sz w:val="20"/>
                <w:szCs w:val="20"/>
              </w:rPr>
            </w:pPr>
            <w:r w:rsidRPr="004A4051">
              <w:rPr>
                <w:sz w:val="20"/>
              </w:rPr>
              <w:t>in case of a REPO operation (raising funds) – as a percentage of the difference between the closing and opening volumes</w:t>
            </w:r>
          </w:p>
        </w:tc>
        <w:tc>
          <w:tcPr>
            <w:tcW w:w="5245" w:type="dxa"/>
            <w:gridSpan w:val="2"/>
            <w:tcBorders>
              <w:top w:val="single" w:sz="4" w:space="0" w:color="auto"/>
              <w:left w:val="nil"/>
              <w:bottom w:val="single" w:sz="4" w:space="0" w:color="auto"/>
              <w:right w:val="single" w:sz="4" w:space="0" w:color="auto"/>
            </w:tcBorders>
            <w:shd w:val="clear" w:color="auto" w:fill="auto"/>
          </w:tcPr>
          <w:p w14:paraId="259222AA" w14:textId="77777777" w:rsidR="00307360" w:rsidRPr="004A4051" w:rsidRDefault="00307360" w:rsidP="00203149">
            <w:pPr>
              <w:jc w:val="both"/>
              <w:rPr>
                <w:sz w:val="20"/>
                <w:szCs w:val="20"/>
              </w:rPr>
            </w:pPr>
          </w:p>
          <w:p w14:paraId="72489325" w14:textId="77777777" w:rsidR="00307360" w:rsidRPr="004A4051" w:rsidRDefault="00307360" w:rsidP="00203149">
            <w:pPr>
              <w:jc w:val="both"/>
              <w:rPr>
                <w:sz w:val="20"/>
                <w:szCs w:val="20"/>
              </w:rPr>
            </w:pPr>
          </w:p>
          <w:p w14:paraId="25B49B6B" w14:textId="14F54769" w:rsidR="002606FE" w:rsidRDefault="00307360" w:rsidP="00203149">
            <w:pPr>
              <w:jc w:val="both"/>
              <w:rPr>
                <w:sz w:val="20"/>
              </w:rPr>
            </w:pPr>
            <w:r w:rsidRPr="004A4051">
              <w:rPr>
                <w:sz w:val="20"/>
              </w:rPr>
              <w:t>0.5%</w:t>
            </w:r>
            <w:r w:rsidR="002606FE">
              <w:rPr>
                <w:sz w:val="20"/>
              </w:rPr>
              <w:t xml:space="preserve"> </w:t>
            </w:r>
            <w:r w:rsidR="002606FE" w:rsidRPr="004A4051">
              <w:rPr>
                <w:sz w:val="20"/>
              </w:rPr>
              <w:t>of the</w:t>
            </w:r>
            <w:r w:rsidR="002606FE">
              <w:rPr>
                <w:sz w:val="20"/>
              </w:rPr>
              <w:t xml:space="preserve"> amount of income within one client order,  </w:t>
            </w:r>
          </w:p>
          <w:p w14:paraId="6541E5E7" w14:textId="20C135C1" w:rsidR="00307360" w:rsidRPr="004A4051" w:rsidRDefault="00307360" w:rsidP="00203149">
            <w:pPr>
              <w:jc w:val="both"/>
              <w:rPr>
                <w:sz w:val="20"/>
                <w:szCs w:val="20"/>
              </w:rPr>
            </w:pPr>
            <w:r w:rsidRPr="004A4051">
              <w:rPr>
                <w:sz w:val="20"/>
              </w:rPr>
              <w:t xml:space="preserve">at least 2 MCI per </w:t>
            </w:r>
            <w:r w:rsidR="00222C03">
              <w:rPr>
                <w:sz w:val="20"/>
              </w:rPr>
              <w:t>order</w:t>
            </w:r>
          </w:p>
          <w:p w14:paraId="239A8F96" w14:textId="77777777" w:rsidR="00D73729" w:rsidRDefault="00D73729" w:rsidP="00203149">
            <w:pPr>
              <w:jc w:val="both"/>
              <w:rPr>
                <w:sz w:val="20"/>
              </w:rPr>
            </w:pPr>
          </w:p>
          <w:p w14:paraId="1AAF299A" w14:textId="4CDBB423" w:rsidR="00D73729" w:rsidRDefault="00307360" w:rsidP="00203149">
            <w:pPr>
              <w:jc w:val="both"/>
              <w:rPr>
                <w:sz w:val="20"/>
              </w:rPr>
            </w:pPr>
            <w:r w:rsidRPr="004A4051">
              <w:rPr>
                <w:sz w:val="20"/>
              </w:rPr>
              <w:t>1%</w:t>
            </w:r>
            <w:r w:rsidR="00D73729">
              <w:rPr>
                <w:sz w:val="20"/>
              </w:rPr>
              <w:t xml:space="preserve"> </w:t>
            </w:r>
            <w:r w:rsidR="00D73729" w:rsidRPr="004A4051">
              <w:rPr>
                <w:sz w:val="20"/>
              </w:rPr>
              <w:t>of the</w:t>
            </w:r>
            <w:r w:rsidR="00D73729">
              <w:rPr>
                <w:sz w:val="20"/>
              </w:rPr>
              <w:t xml:space="preserve"> amount of income within one client order,</w:t>
            </w:r>
            <w:r w:rsidRPr="004A4051">
              <w:rPr>
                <w:sz w:val="20"/>
              </w:rPr>
              <w:t xml:space="preserve"> </w:t>
            </w:r>
          </w:p>
          <w:p w14:paraId="0F6915E2" w14:textId="636E5491" w:rsidR="00307360" w:rsidRPr="004A4051" w:rsidDel="00F33065" w:rsidRDefault="00307360" w:rsidP="00203149">
            <w:pPr>
              <w:jc w:val="both"/>
              <w:rPr>
                <w:sz w:val="20"/>
                <w:szCs w:val="20"/>
              </w:rPr>
            </w:pPr>
            <w:r w:rsidRPr="004A4051">
              <w:rPr>
                <w:sz w:val="20"/>
              </w:rPr>
              <w:t xml:space="preserve">at least 2 MCI per </w:t>
            </w:r>
            <w:r w:rsidR="00222C03">
              <w:rPr>
                <w:sz w:val="20"/>
              </w:rPr>
              <w:t>order</w:t>
            </w:r>
          </w:p>
        </w:tc>
      </w:tr>
      <w:tr w:rsidR="00307360" w:rsidRPr="004A4051" w14:paraId="34FBA97D" w14:textId="77777777" w:rsidTr="00CB1A0C">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CC17302" w14:textId="77777777" w:rsidR="00307360" w:rsidRPr="004A4051" w:rsidDel="00F33065" w:rsidRDefault="00307360" w:rsidP="00203149">
            <w:pPr>
              <w:rPr>
                <w:sz w:val="20"/>
                <w:szCs w:val="20"/>
              </w:rPr>
            </w:pPr>
            <w:r w:rsidRPr="004A4051">
              <w:rPr>
                <w:sz w:val="20"/>
              </w:rPr>
              <w:t>Currency conversion at the exchange – depending on the conversion volume</w:t>
            </w:r>
          </w:p>
        </w:tc>
        <w:tc>
          <w:tcPr>
            <w:tcW w:w="5245" w:type="dxa"/>
            <w:gridSpan w:val="2"/>
            <w:tcBorders>
              <w:top w:val="single" w:sz="4" w:space="0" w:color="auto"/>
              <w:left w:val="nil"/>
              <w:bottom w:val="single" w:sz="4" w:space="0" w:color="auto"/>
              <w:right w:val="single" w:sz="4" w:space="0" w:color="auto"/>
            </w:tcBorders>
            <w:shd w:val="clear" w:color="auto" w:fill="auto"/>
          </w:tcPr>
          <w:p w14:paraId="6465EB2A" w14:textId="77777777" w:rsidR="00307360" w:rsidRPr="004A4051" w:rsidDel="00F33065" w:rsidRDefault="00307360" w:rsidP="00203149">
            <w:pPr>
              <w:jc w:val="both"/>
              <w:rPr>
                <w:sz w:val="20"/>
                <w:szCs w:val="20"/>
              </w:rPr>
            </w:pPr>
            <w:r w:rsidRPr="004A4051">
              <w:rPr>
                <w:sz w:val="20"/>
              </w:rPr>
              <w:t>0.05% of the transaction amount, at least 1 MCI</w:t>
            </w:r>
          </w:p>
        </w:tc>
      </w:tr>
    </w:tbl>
    <w:p w14:paraId="0C52B763" w14:textId="77777777" w:rsidR="00307360" w:rsidRPr="004A4051" w:rsidRDefault="00307360" w:rsidP="007A0535">
      <w:pPr>
        <w:jc w:val="center"/>
        <w:rPr>
          <w:color w:val="152C52"/>
          <w:sz w:val="22"/>
          <w:szCs w:val="22"/>
        </w:rPr>
      </w:pPr>
    </w:p>
    <w:p w14:paraId="1C93C560" w14:textId="77777777" w:rsidR="00307360" w:rsidRPr="004A4051" w:rsidRDefault="00307360" w:rsidP="00307360">
      <w:pPr>
        <w:spacing w:before="120" w:after="60"/>
        <w:ind w:left="-142"/>
        <w:rPr>
          <w:b/>
          <w:bCs/>
          <w:i/>
          <w:iCs/>
          <w:sz w:val="22"/>
          <w:szCs w:val="22"/>
          <w:u w:val="single"/>
        </w:rPr>
      </w:pPr>
      <w:r w:rsidRPr="004A4051">
        <w:rPr>
          <w:b/>
          <w:i/>
          <w:sz w:val="22"/>
          <w:u w:val="single"/>
        </w:rPr>
        <w:t>Notes</w:t>
      </w:r>
    </w:p>
    <w:p w14:paraId="6C07A89F" w14:textId="77777777" w:rsidR="00307360" w:rsidRPr="004A4051" w:rsidRDefault="00307360" w:rsidP="009E2BB6">
      <w:pPr>
        <w:pStyle w:val="a6"/>
        <w:numPr>
          <w:ilvl w:val="0"/>
          <w:numId w:val="23"/>
        </w:numPr>
        <w:spacing w:before="80" w:after="80"/>
        <w:ind w:left="-142" w:hanging="425"/>
        <w:contextualSpacing w:val="0"/>
        <w:jc w:val="both"/>
        <w:rPr>
          <w:sz w:val="22"/>
          <w:szCs w:val="22"/>
        </w:rPr>
      </w:pPr>
      <w:r w:rsidRPr="004A4051">
        <w:rPr>
          <w:sz w:val="22"/>
        </w:rPr>
        <w:t>To calculate the tariffs, the MCI applicable to the relevant calendar year shall be used.</w:t>
      </w:r>
    </w:p>
    <w:p w14:paraId="7CDCD72A" w14:textId="23CF071E" w:rsidR="00307360" w:rsidRPr="004A4051" w:rsidRDefault="00307360" w:rsidP="009E2BB6">
      <w:pPr>
        <w:pStyle w:val="a6"/>
        <w:numPr>
          <w:ilvl w:val="0"/>
          <w:numId w:val="23"/>
        </w:numPr>
        <w:spacing w:before="80" w:after="80"/>
        <w:ind w:left="-142" w:hanging="425"/>
        <w:contextualSpacing w:val="0"/>
        <w:jc w:val="both"/>
        <w:rPr>
          <w:sz w:val="22"/>
          <w:szCs w:val="22"/>
        </w:rPr>
      </w:pPr>
      <w:r w:rsidRPr="004A4051">
        <w:rPr>
          <w:sz w:val="22"/>
        </w:rPr>
        <w:t xml:space="preserve">The above rates and tariffs </w:t>
      </w:r>
      <w:r w:rsidR="00AA0773">
        <w:rPr>
          <w:sz w:val="22"/>
        </w:rPr>
        <w:t>include</w:t>
      </w:r>
      <w:r w:rsidRPr="004A4051">
        <w:rPr>
          <w:sz w:val="22"/>
        </w:rPr>
        <w:t xml:space="preserve"> the rates and tariffs of any third parties, i.e. other professional market participants. The tariffs of Kazakhstan Stock Exchange JSC, Central Securities Depository JSC, custodian banks, second-tier banks, AIFC Exchange, AIFC Depository, and other professional market participants shall be paid by the Customer separately according to invoices issued by the Company stating such reimbursable expenses, other than any fees of the international intermediary brokers, stamp duties of the foreign stock exchanges and other commissions included in the transactions’ amount. Any duties, taxes and fees that shall be withheld from the transactions in compliance with the legislation of the country where such transactions are effected, shall be payable by the Client and will not be deemed an obligation of the Company. </w:t>
      </w:r>
    </w:p>
    <w:p w14:paraId="3F376CC1" w14:textId="77777777" w:rsidR="00307360" w:rsidRPr="004A4051" w:rsidRDefault="00307360" w:rsidP="009E2BB6">
      <w:pPr>
        <w:numPr>
          <w:ilvl w:val="0"/>
          <w:numId w:val="23"/>
        </w:numPr>
        <w:spacing w:before="80" w:after="80"/>
        <w:ind w:left="-142" w:hanging="425"/>
        <w:jc w:val="both"/>
        <w:rPr>
          <w:sz w:val="22"/>
          <w:szCs w:val="22"/>
        </w:rPr>
      </w:pPr>
      <w:r w:rsidRPr="004A4051">
        <w:rPr>
          <w:sz w:val="22"/>
        </w:rPr>
        <w:t>The Company's remuneration for transactions shall be calculated depending on the total volume of that part of the customer’s order that is fulfilled. So, if two or more transactions are concluded under a single order, the fees shall be calculated based on the total amount of the transactions concluded under such order.</w:t>
      </w:r>
    </w:p>
    <w:p w14:paraId="4C5403C0" w14:textId="77777777" w:rsidR="00307360" w:rsidRPr="004A4051" w:rsidRDefault="00307360" w:rsidP="009E2BB6">
      <w:pPr>
        <w:numPr>
          <w:ilvl w:val="0"/>
          <w:numId w:val="23"/>
        </w:numPr>
        <w:spacing w:before="80" w:after="80"/>
        <w:ind w:left="-142" w:hanging="425"/>
        <w:jc w:val="both"/>
        <w:rPr>
          <w:sz w:val="22"/>
          <w:szCs w:val="22"/>
        </w:rPr>
      </w:pPr>
      <w:r w:rsidRPr="004A4051">
        <w:rPr>
          <w:sz w:val="22"/>
        </w:rPr>
        <w:t xml:space="preserve">The tariffs shall not be applicable to any transactions conducted because of the Company’s underwriting activities. </w:t>
      </w:r>
    </w:p>
    <w:p w14:paraId="4E20BC35" w14:textId="77777777" w:rsidR="00307360" w:rsidRPr="004A4051" w:rsidRDefault="00307360" w:rsidP="009E2BB6">
      <w:pPr>
        <w:numPr>
          <w:ilvl w:val="0"/>
          <w:numId w:val="23"/>
        </w:numPr>
        <w:spacing w:before="80" w:after="80"/>
        <w:ind w:left="-142" w:hanging="425"/>
        <w:jc w:val="both"/>
        <w:rPr>
          <w:sz w:val="22"/>
          <w:szCs w:val="22"/>
        </w:rPr>
      </w:pPr>
      <w:r w:rsidRPr="004A4051">
        <w:rPr>
          <w:sz w:val="22"/>
        </w:rPr>
        <w:t>If a customer is rendered the financial consultant and/or underwriter services by the Company and for this purpose receives the services of the Company as a broker, according to an agreement with such customer, brokerage fees may be included in the total cost of the services received from the Company as specified in the financial advisor and/or underwriter service agreement.</w:t>
      </w:r>
    </w:p>
    <w:p w14:paraId="58E126D4" w14:textId="77777777" w:rsidR="00307360" w:rsidRPr="004A4051" w:rsidRDefault="00307360" w:rsidP="009E2BB6">
      <w:pPr>
        <w:pStyle w:val="a6"/>
        <w:numPr>
          <w:ilvl w:val="0"/>
          <w:numId w:val="23"/>
        </w:numPr>
        <w:tabs>
          <w:tab w:val="left" w:pos="0"/>
        </w:tabs>
        <w:spacing w:before="80" w:after="80"/>
        <w:ind w:left="-142" w:hanging="425"/>
        <w:contextualSpacing w:val="0"/>
        <w:rPr>
          <w:sz w:val="22"/>
          <w:szCs w:val="22"/>
        </w:rPr>
      </w:pPr>
      <w:r w:rsidRPr="004A4051">
        <w:rPr>
          <w:sz w:val="22"/>
        </w:rPr>
        <w:t xml:space="preserve">The fees shall be accrued and charged from the monthly trading volume, except for any repo transactions and operations with derivatives, as well as third parties’ commissions. </w:t>
      </w:r>
    </w:p>
    <w:p w14:paraId="509B6A3B" w14:textId="77777777" w:rsidR="00307360" w:rsidRPr="004A4051" w:rsidRDefault="00307360" w:rsidP="009E2BB6">
      <w:pPr>
        <w:pStyle w:val="a6"/>
        <w:numPr>
          <w:ilvl w:val="0"/>
          <w:numId w:val="23"/>
        </w:numPr>
        <w:tabs>
          <w:tab w:val="left" w:pos="0"/>
        </w:tabs>
        <w:spacing w:before="80"/>
        <w:ind w:left="-142" w:hanging="425"/>
        <w:contextualSpacing w:val="0"/>
        <w:jc w:val="both"/>
        <w:rPr>
          <w:sz w:val="22"/>
          <w:szCs w:val="22"/>
        </w:rPr>
      </w:pPr>
      <w:r w:rsidRPr="004A4051">
        <w:rPr>
          <w:sz w:val="22"/>
        </w:rPr>
        <w:t xml:space="preserve">The customer's trading volume means the total net volume of the Customer's transactions for the purchase/sale of financial instruments (excluding the volume of any repo transactions and operations with derivatives, as well as third parties’ commissions) over a period of time.  </w:t>
      </w:r>
    </w:p>
    <w:p w14:paraId="77C8C8B4" w14:textId="6CC895E7" w:rsidR="009E2BB6" w:rsidRPr="004A4051" w:rsidRDefault="009E2BB6" w:rsidP="009E2BB6">
      <w:pPr>
        <w:tabs>
          <w:tab w:val="num" w:pos="567"/>
        </w:tabs>
        <w:spacing w:after="60"/>
        <w:ind w:left="-142"/>
        <w:jc w:val="both"/>
        <w:rPr>
          <w:spacing w:val="1"/>
          <w:sz w:val="22"/>
          <w:szCs w:val="22"/>
        </w:rPr>
      </w:pPr>
    </w:p>
    <w:p w14:paraId="46ECCE2B" w14:textId="662BAA23" w:rsidR="00307360" w:rsidRPr="004A4051" w:rsidRDefault="009E2BB6" w:rsidP="009E2BB6">
      <w:pPr>
        <w:tabs>
          <w:tab w:val="num" w:pos="567"/>
        </w:tabs>
        <w:spacing w:after="60"/>
        <w:ind w:left="-142" w:hanging="425"/>
        <w:jc w:val="both"/>
        <w:rPr>
          <w:sz w:val="22"/>
          <w:szCs w:val="22"/>
        </w:rPr>
      </w:pPr>
      <w:r w:rsidRPr="004A4051">
        <w:rPr>
          <w:sz w:val="22"/>
        </w:rPr>
        <w:tab/>
        <w:t xml:space="preserve">The fees from the trading volume in the international market shall be accrued in Tenge at the official rate established by the National Bank of the Republic of Kazakhstan as of the last calendar day of the month the accrual relates to. The fees from transactions in the international market shall be accrued in Tenge at the official rate established by the National Bank of the Republic of Kazakhstan as of the actual transaction settlement date. </w:t>
      </w:r>
    </w:p>
    <w:p w14:paraId="0D69F623" w14:textId="77777777" w:rsidR="00307360" w:rsidRPr="004A4051" w:rsidRDefault="00307360" w:rsidP="00307360">
      <w:pPr>
        <w:tabs>
          <w:tab w:val="num" w:pos="567"/>
        </w:tabs>
        <w:ind w:left="-142"/>
        <w:jc w:val="right"/>
      </w:pPr>
    </w:p>
    <w:p w14:paraId="6982E062" w14:textId="77777777" w:rsidR="00307360" w:rsidRPr="004A4051" w:rsidRDefault="00307360" w:rsidP="00307360">
      <w:pPr>
        <w:tabs>
          <w:tab w:val="num" w:pos="567"/>
        </w:tabs>
        <w:ind w:left="-142"/>
        <w:jc w:val="right"/>
      </w:pPr>
    </w:p>
    <w:p w14:paraId="2270DBE5" w14:textId="77777777" w:rsidR="00307360" w:rsidRPr="004A4051" w:rsidRDefault="00307360" w:rsidP="00307360">
      <w:pPr>
        <w:tabs>
          <w:tab w:val="num" w:pos="567"/>
        </w:tabs>
        <w:ind w:left="-142"/>
        <w:jc w:val="right"/>
      </w:pPr>
    </w:p>
    <w:p w14:paraId="3BDAE238" w14:textId="77777777" w:rsidR="00307360" w:rsidRPr="004A4051" w:rsidRDefault="00307360" w:rsidP="00307360">
      <w:pPr>
        <w:tabs>
          <w:tab w:val="num" w:pos="567"/>
        </w:tabs>
        <w:ind w:left="-142"/>
        <w:jc w:val="right"/>
      </w:pPr>
    </w:p>
    <w:p w14:paraId="4CBAEB82" w14:textId="77777777" w:rsidR="00307360" w:rsidRPr="004A4051" w:rsidRDefault="00307360" w:rsidP="00307360">
      <w:pPr>
        <w:tabs>
          <w:tab w:val="num" w:pos="567"/>
        </w:tabs>
        <w:ind w:left="-142"/>
        <w:jc w:val="right"/>
      </w:pPr>
    </w:p>
    <w:p w14:paraId="551288D5" w14:textId="77777777" w:rsidR="00307360" w:rsidRPr="004A4051" w:rsidRDefault="00307360" w:rsidP="00307360">
      <w:pPr>
        <w:tabs>
          <w:tab w:val="num" w:pos="567"/>
        </w:tabs>
        <w:ind w:left="-142"/>
        <w:jc w:val="right"/>
      </w:pPr>
    </w:p>
    <w:p w14:paraId="6FFB99B6" w14:textId="39E9B005" w:rsidR="00307360" w:rsidRPr="004A4051" w:rsidRDefault="00307360" w:rsidP="00307360">
      <w:pPr>
        <w:tabs>
          <w:tab w:val="num" w:pos="567"/>
        </w:tabs>
        <w:ind w:left="-142"/>
        <w:jc w:val="right"/>
      </w:pPr>
      <w:r w:rsidRPr="004A4051">
        <w:lastRenderedPageBreak/>
        <w:t xml:space="preserve">Appendix 4 </w:t>
      </w:r>
    </w:p>
    <w:p w14:paraId="2244D4CE" w14:textId="77777777" w:rsidR="00307360" w:rsidRPr="004A4051" w:rsidRDefault="00307360" w:rsidP="00307360">
      <w:pPr>
        <w:jc w:val="right"/>
      </w:pPr>
      <w:r w:rsidRPr="004A4051">
        <w:t xml:space="preserve">to minutes #4 of the Tariff Committee </w:t>
      </w:r>
    </w:p>
    <w:p w14:paraId="45A495B6" w14:textId="77777777" w:rsidR="00307360" w:rsidRPr="004A4051" w:rsidRDefault="00307360" w:rsidP="00307360">
      <w:pPr>
        <w:jc w:val="right"/>
      </w:pPr>
      <w:r w:rsidRPr="004A4051">
        <w:t>of SkyBridge Invest JSC</w:t>
      </w:r>
    </w:p>
    <w:p w14:paraId="56104DC5" w14:textId="730DE992" w:rsidR="00307360" w:rsidRPr="004A4051" w:rsidRDefault="00307360" w:rsidP="00307360">
      <w:pPr>
        <w:jc w:val="right"/>
      </w:pPr>
      <w:r w:rsidRPr="004A4051">
        <w:t>dated August 23, 2023</w:t>
      </w:r>
    </w:p>
    <w:p w14:paraId="7AEBB87A" w14:textId="77777777" w:rsidR="00B5500E" w:rsidRPr="004A4051" w:rsidRDefault="00B5500E" w:rsidP="00B5500E">
      <w:pPr>
        <w:jc w:val="right"/>
      </w:pPr>
      <w:r>
        <w:t>Effective October 3, 2023</w:t>
      </w:r>
    </w:p>
    <w:p w14:paraId="4A845290" w14:textId="77777777" w:rsidR="00307360" w:rsidRPr="004A4051" w:rsidRDefault="00307360" w:rsidP="00307360">
      <w:pPr>
        <w:jc w:val="right"/>
        <w:rPr>
          <w:b/>
          <w:bCs/>
        </w:rPr>
      </w:pPr>
    </w:p>
    <w:p w14:paraId="5160298A" w14:textId="47B84D01" w:rsidR="00307360" w:rsidRPr="004A4051" w:rsidRDefault="00307360" w:rsidP="00307360">
      <w:pPr>
        <w:jc w:val="center"/>
        <w:rPr>
          <w:rFonts w:eastAsiaTheme="minorEastAsia"/>
          <w:b/>
          <w:bCs/>
          <w:sz w:val="22"/>
          <w:szCs w:val="22"/>
        </w:rPr>
      </w:pPr>
      <w:r w:rsidRPr="004A4051">
        <w:rPr>
          <w:b/>
          <w:sz w:val="22"/>
        </w:rPr>
        <w:t xml:space="preserve">SkyBridge Invest JSC’s </w:t>
      </w:r>
      <w:r w:rsidR="004764D5" w:rsidRPr="004A4051">
        <w:rPr>
          <w:b/>
          <w:sz w:val="22"/>
        </w:rPr>
        <w:t xml:space="preserve">Brokerage </w:t>
      </w:r>
      <w:r w:rsidRPr="004A4051">
        <w:rPr>
          <w:b/>
          <w:sz w:val="22"/>
        </w:rPr>
        <w:t xml:space="preserve">and </w:t>
      </w:r>
      <w:r w:rsidR="004764D5" w:rsidRPr="004A4051">
        <w:rPr>
          <w:b/>
          <w:sz w:val="22"/>
        </w:rPr>
        <w:t xml:space="preserve">Nominee Holding Services Tariffs Applicable </w:t>
      </w:r>
      <w:r w:rsidRPr="004A4051">
        <w:rPr>
          <w:b/>
          <w:sz w:val="22"/>
        </w:rPr>
        <w:t xml:space="preserve">to </w:t>
      </w:r>
      <w:r w:rsidR="004764D5" w:rsidRPr="004A4051">
        <w:rPr>
          <w:b/>
          <w:sz w:val="22"/>
        </w:rPr>
        <w:t>Nonresident Individuals</w:t>
      </w:r>
    </w:p>
    <w:p w14:paraId="53EDAC45" w14:textId="77777777" w:rsidR="00307360" w:rsidRPr="004A4051" w:rsidRDefault="00307360" w:rsidP="00307360">
      <w:pPr>
        <w:jc w:val="center"/>
        <w:rPr>
          <w:rFonts w:eastAsiaTheme="minorEastAsia"/>
          <w:b/>
          <w:bCs/>
          <w:sz w:val="22"/>
          <w:szCs w:val="22"/>
        </w:rPr>
      </w:pPr>
    </w:p>
    <w:tbl>
      <w:tblPr>
        <w:tblW w:w="10169" w:type="dxa"/>
        <w:tblInd w:w="-577" w:type="dxa"/>
        <w:tblLook w:val="04A0" w:firstRow="1" w:lastRow="0" w:firstColumn="1" w:lastColumn="0" w:noHBand="0" w:noVBand="1"/>
      </w:tblPr>
      <w:tblGrid>
        <w:gridCol w:w="4962"/>
        <w:gridCol w:w="5207"/>
      </w:tblGrid>
      <w:tr w:rsidR="00307360" w:rsidRPr="004A4051" w14:paraId="0D68D83C" w14:textId="77777777" w:rsidTr="00CB1A0C">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76CDDF2F" w14:textId="77777777" w:rsidR="00307360" w:rsidRPr="004A4051" w:rsidRDefault="00307360" w:rsidP="00203149">
            <w:pPr>
              <w:jc w:val="center"/>
              <w:rPr>
                <w:b/>
                <w:sz w:val="20"/>
                <w:szCs w:val="20"/>
              </w:rPr>
            </w:pPr>
            <w:r w:rsidRPr="004A4051">
              <w:rPr>
                <w:b/>
                <w:sz w:val="20"/>
              </w:rPr>
              <w:t>Transaction type</w:t>
            </w:r>
          </w:p>
        </w:tc>
        <w:tc>
          <w:tcPr>
            <w:tcW w:w="5207" w:type="dxa"/>
            <w:tcBorders>
              <w:top w:val="single" w:sz="8" w:space="0" w:color="auto"/>
              <w:left w:val="nil"/>
              <w:bottom w:val="single" w:sz="4" w:space="0" w:color="auto"/>
              <w:right w:val="single" w:sz="4" w:space="0" w:color="auto"/>
            </w:tcBorders>
            <w:shd w:val="clear" w:color="000000" w:fill="BFBFBF"/>
            <w:vAlign w:val="center"/>
            <w:hideMark/>
          </w:tcPr>
          <w:p w14:paraId="52F7F46D" w14:textId="77777777" w:rsidR="00307360" w:rsidRPr="004A4051" w:rsidRDefault="00307360" w:rsidP="00203149">
            <w:pPr>
              <w:jc w:val="center"/>
              <w:rPr>
                <w:b/>
                <w:bCs/>
                <w:sz w:val="20"/>
                <w:szCs w:val="20"/>
              </w:rPr>
            </w:pPr>
            <w:r w:rsidRPr="004A4051">
              <w:rPr>
                <w:b/>
                <w:sz w:val="20"/>
              </w:rPr>
              <w:t>Tariffs applicable to individuals being nonresidents of the RoK</w:t>
            </w:r>
          </w:p>
        </w:tc>
      </w:tr>
      <w:tr w:rsidR="00307360" w:rsidRPr="004A4051" w14:paraId="4366B8D0" w14:textId="77777777" w:rsidTr="00CB1A0C">
        <w:trPr>
          <w:trHeight w:val="424"/>
        </w:trPr>
        <w:tc>
          <w:tcPr>
            <w:tcW w:w="10169"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0A3C3916" w14:textId="77777777" w:rsidR="00307360" w:rsidRPr="004A4051" w:rsidRDefault="00307360" w:rsidP="00203149">
            <w:pPr>
              <w:jc w:val="center"/>
              <w:rPr>
                <w:b/>
                <w:bCs/>
                <w:sz w:val="20"/>
                <w:szCs w:val="20"/>
              </w:rPr>
            </w:pPr>
            <w:r w:rsidRPr="004A4051">
              <w:rPr>
                <w:b/>
                <w:color w:val="FFFFFF"/>
                <w:sz w:val="20"/>
              </w:rPr>
              <w:t>Nominee holding services</w:t>
            </w:r>
          </w:p>
        </w:tc>
      </w:tr>
      <w:tr w:rsidR="00307360" w:rsidRPr="004A4051" w14:paraId="025EADB5" w14:textId="77777777" w:rsidTr="00CB1A0C">
        <w:trPr>
          <w:trHeight w:val="510"/>
        </w:trPr>
        <w:tc>
          <w:tcPr>
            <w:tcW w:w="4962" w:type="dxa"/>
            <w:tcBorders>
              <w:top w:val="nil"/>
              <w:left w:val="single" w:sz="8" w:space="0" w:color="auto"/>
              <w:bottom w:val="single" w:sz="4" w:space="0" w:color="auto"/>
              <w:right w:val="single" w:sz="4" w:space="0" w:color="auto"/>
            </w:tcBorders>
            <w:vAlign w:val="center"/>
            <w:hideMark/>
          </w:tcPr>
          <w:p w14:paraId="56CCE9C3" w14:textId="77777777" w:rsidR="00307360" w:rsidRPr="004A4051" w:rsidRDefault="00307360" w:rsidP="00203149">
            <w:pPr>
              <w:rPr>
                <w:sz w:val="20"/>
                <w:szCs w:val="20"/>
              </w:rPr>
            </w:pPr>
            <w:r w:rsidRPr="004A4051">
              <w:rPr>
                <w:sz w:val="20"/>
              </w:rPr>
              <w:t>Opening /management/closing of a customer account</w:t>
            </w:r>
          </w:p>
        </w:tc>
        <w:tc>
          <w:tcPr>
            <w:tcW w:w="5207" w:type="dxa"/>
            <w:tcBorders>
              <w:top w:val="nil"/>
              <w:left w:val="nil"/>
              <w:bottom w:val="single" w:sz="4" w:space="0" w:color="auto"/>
              <w:right w:val="single" w:sz="4" w:space="0" w:color="auto"/>
            </w:tcBorders>
            <w:vAlign w:val="center"/>
            <w:hideMark/>
          </w:tcPr>
          <w:p w14:paraId="0E30D4C1" w14:textId="77777777" w:rsidR="00307360" w:rsidRPr="004A4051" w:rsidRDefault="00307360" w:rsidP="00203149">
            <w:pPr>
              <w:rPr>
                <w:sz w:val="20"/>
                <w:szCs w:val="20"/>
              </w:rPr>
            </w:pPr>
            <w:r w:rsidRPr="004A4051">
              <w:rPr>
                <w:sz w:val="20"/>
              </w:rPr>
              <w:t>For free</w:t>
            </w:r>
          </w:p>
        </w:tc>
      </w:tr>
      <w:tr w:rsidR="00307360" w:rsidRPr="004A4051" w14:paraId="5F0B5996" w14:textId="77777777" w:rsidTr="00CB1A0C">
        <w:trPr>
          <w:trHeight w:val="317"/>
        </w:trPr>
        <w:tc>
          <w:tcPr>
            <w:tcW w:w="4962" w:type="dxa"/>
            <w:tcBorders>
              <w:top w:val="nil"/>
              <w:left w:val="single" w:sz="8" w:space="0" w:color="auto"/>
              <w:bottom w:val="single" w:sz="4" w:space="0" w:color="auto"/>
              <w:right w:val="single" w:sz="4" w:space="0" w:color="auto"/>
            </w:tcBorders>
            <w:vAlign w:val="center"/>
            <w:hideMark/>
          </w:tcPr>
          <w:p w14:paraId="053AB812" w14:textId="77777777" w:rsidR="00307360" w:rsidRPr="004A4051" w:rsidRDefault="00307360" w:rsidP="00203149">
            <w:pPr>
              <w:rPr>
                <w:sz w:val="20"/>
                <w:szCs w:val="20"/>
              </w:rPr>
            </w:pPr>
            <w:r w:rsidRPr="004A4051">
              <w:rPr>
                <w:sz w:val="20"/>
              </w:rPr>
              <w:t xml:space="preserve">Putting financial instruments in/withdrawal from nominee holding </w:t>
            </w:r>
          </w:p>
        </w:tc>
        <w:tc>
          <w:tcPr>
            <w:tcW w:w="5207" w:type="dxa"/>
            <w:tcBorders>
              <w:top w:val="nil"/>
              <w:left w:val="nil"/>
              <w:bottom w:val="single" w:sz="4" w:space="0" w:color="auto"/>
              <w:right w:val="single" w:sz="4" w:space="0" w:color="auto"/>
            </w:tcBorders>
            <w:vAlign w:val="center"/>
            <w:hideMark/>
          </w:tcPr>
          <w:p w14:paraId="38B450AD" w14:textId="77777777" w:rsidR="00307360" w:rsidRPr="004A4051" w:rsidRDefault="00307360" w:rsidP="00307360">
            <w:pPr>
              <w:numPr>
                <w:ilvl w:val="0"/>
                <w:numId w:val="21"/>
              </w:numPr>
              <w:spacing w:after="120"/>
              <w:ind w:left="227" w:hanging="227"/>
              <w:rPr>
                <w:sz w:val="20"/>
                <w:szCs w:val="20"/>
              </w:rPr>
            </w:pPr>
            <w:r w:rsidRPr="004A4051">
              <w:rPr>
                <w:sz w:val="20"/>
              </w:rPr>
              <w:t xml:space="preserve">Putting a financial instrument of any type – 0.05% of the securities’ fair market value*, at least USD 10 </w:t>
            </w:r>
          </w:p>
          <w:p w14:paraId="7887C7EA" w14:textId="77777777" w:rsidR="00307360" w:rsidRPr="004A4051" w:rsidRDefault="00307360" w:rsidP="00307360">
            <w:pPr>
              <w:numPr>
                <w:ilvl w:val="0"/>
                <w:numId w:val="21"/>
              </w:numPr>
              <w:spacing w:after="120"/>
              <w:ind w:left="227" w:hanging="227"/>
              <w:rPr>
                <w:sz w:val="20"/>
                <w:szCs w:val="20"/>
              </w:rPr>
            </w:pPr>
            <w:r w:rsidRPr="004A4051">
              <w:rPr>
                <w:sz w:val="20"/>
              </w:rPr>
              <w:t xml:space="preserve">Withdrawal of a financial Instrument of any type – 0.05% of the securities’ fair market value*, at least USD 10 </w:t>
            </w:r>
          </w:p>
          <w:p w14:paraId="0C0D4D14" w14:textId="37C9AB5F" w:rsidR="00307360" w:rsidRPr="004A4051" w:rsidRDefault="00307360" w:rsidP="00307360">
            <w:pPr>
              <w:numPr>
                <w:ilvl w:val="0"/>
                <w:numId w:val="21"/>
              </w:numPr>
              <w:ind w:left="227" w:hanging="227"/>
              <w:rPr>
                <w:sz w:val="20"/>
                <w:szCs w:val="20"/>
              </w:rPr>
            </w:pPr>
            <w:r w:rsidRPr="004A4051">
              <w:rPr>
                <w:sz w:val="20"/>
              </w:rPr>
              <w:t>Withdrawal of funds (per transfer transaction) – 0.35%, at least USD 50</w:t>
            </w:r>
            <w:r w:rsidR="00407259">
              <w:rPr>
                <w:sz w:val="20"/>
              </w:rPr>
              <w:t xml:space="preserve">, </w:t>
            </w:r>
            <w:r w:rsidR="00C148F7">
              <w:rPr>
                <w:sz w:val="20"/>
              </w:rPr>
              <w:t>no more than 500 USD</w:t>
            </w:r>
          </w:p>
          <w:p w14:paraId="7552AF7C" w14:textId="77777777" w:rsidR="00307360" w:rsidRPr="004A4051" w:rsidRDefault="00307360" w:rsidP="00203149">
            <w:pPr>
              <w:rPr>
                <w:sz w:val="20"/>
                <w:szCs w:val="20"/>
              </w:rPr>
            </w:pPr>
          </w:p>
          <w:p w14:paraId="0023233C" w14:textId="77777777" w:rsidR="00307360" w:rsidRPr="004A4051" w:rsidRDefault="00307360" w:rsidP="00203149">
            <w:pPr>
              <w:ind w:left="6"/>
              <w:rPr>
                <w:sz w:val="20"/>
                <w:szCs w:val="20"/>
              </w:rPr>
            </w:pPr>
            <w:r w:rsidRPr="004A4051">
              <w:rPr>
                <w:b/>
                <w:i/>
              </w:rPr>
              <w:t>*</w:t>
            </w:r>
            <w:r w:rsidRPr="004A4051">
              <w:rPr>
                <w:i/>
                <w:sz w:val="20"/>
              </w:rPr>
              <w:t xml:space="preserve">If no fair market value is available, a fixed rate agreed by the parties shall be applicable. </w:t>
            </w:r>
          </w:p>
        </w:tc>
      </w:tr>
      <w:tr w:rsidR="00307360" w:rsidRPr="004A4051" w14:paraId="50497465" w14:textId="77777777" w:rsidTr="00CB1A0C">
        <w:trPr>
          <w:trHeight w:val="1036"/>
        </w:trPr>
        <w:tc>
          <w:tcPr>
            <w:tcW w:w="4962" w:type="dxa"/>
            <w:tcBorders>
              <w:top w:val="nil"/>
              <w:left w:val="single" w:sz="8" w:space="0" w:color="auto"/>
              <w:bottom w:val="single" w:sz="4" w:space="0" w:color="auto"/>
              <w:right w:val="single" w:sz="4" w:space="0" w:color="auto"/>
            </w:tcBorders>
            <w:vAlign w:val="center"/>
            <w:hideMark/>
          </w:tcPr>
          <w:p w14:paraId="5178B073" w14:textId="77777777" w:rsidR="00307360" w:rsidRPr="004A4051" w:rsidRDefault="00307360" w:rsidP="00203149">
            <w:pPr>
              <w:rPr>
                <w:sz w:val="20"/>
                <w:szCs w:val="20"/>
              </w:rPr>
            </w:pPr>
            <w:r w:rsidRPr="004A4051">
              <w:rPr>
                <w:sz w:val="20"/>
              </w:rPr>
              <w:t>Issue of periodic statements - on a monthly basis (statement of customer account as of the end of month, customer account history report for the reporting month and other statements as required by the laws of the RoK)</w:t>
            </w:r>
          </w:p>
        </w:tc>
        <w:tc>
          <w:tcPr>
            <w:tcW w:w="5207" w:type="dxa"/>
            <w:tcBorders>
              <w:top w:val="nil"/>
              <w:left w:val="nil"/>
              <w:bottom w:val="single" w:sz="4" w:space="0" w:color="auto"/>
              <w:right w:val="single" w:sz="4" w:space="0" w:color="auto"/>
            </w:tcBorders>
            <w:vAlign w:val="center"/>
            <w:hideMark/>
          </w:tcPr>
          <w:p w14:paraId="1E1615A7" w14:textId="77777777" w:rsidR="00307360" w:rsidRPr="004A4051" w:rsidRDefault="00307360" w:rsidP="00203149">
            <w:pPr>
              <w:rPr>
                <w:sz w:val="20"/>
                <w:szCs w:val="20"/>
              </w:rPr>
            </w:pPr>
            <w:r w:rsidRPr="004A4051">
              <w:rPr>
                <w:sz w:val="20"/>
              </w:rPr>
              <w:t>For free</w:t>
            </w:r>
          </w:p>
        </w:tc>
      </w:tr>
      <w:tr w:rsidR="00307360" w:rsidRPr="004A4051" w14:paraId="69C57FA7" w14:textId="77777777" w:rsidTr="00CB1A0C">
        <w:trPr>
          <w:trHeight w:val="615"/>
        </w:trPr>
        <w:tc>
          <w:tcPr>
            <w:tcW w:w="4962" w:type="dxa"/>
            <w:tcBorders>
              <w:top w:val="nil"/>
              <w:left w:val="single" w:sz="8" w:space="0" w:color="auto"/>
              <w:bottom w:val="single" w:sz="4" w:space="0" w:color="auto"/>
              <w:right w:val="single" w:sz="4" w:space="0" w:color="auto"/>
            </w:tcBorders>
            <w:vAlign w:val="center"/>
            <w:hideMark/>
          </w:tcPr>
          <w:p w14:paraId="2D032088" w14:textId="77777777" w:rsidR="00307360" w:rsidRPr="004A4051" w:rsidRDefault="00307360" w:rsidP="00203149">
            <w:pPr>
              <w:rPr>
                <w:sz w:val="20"/>
                <w:szCs w:val="20"/>
              </w:rPr>
            </w:pPr>
            <w:r w:rsidRPr="004A4051">
              <w:rPr>
                <w:sz w:val="20"/>
              </w:rPr>
              <w:t>Issue of customer-defined reports as and when required – per report</w:t>
            </w:r>
          </w:p>
        </w:tc>
        <w:tc>
          <w:tcPr>
            <w:tcW w:w="5207" w:type="dxa"/>
            <w:tcBorders>
              <w:top w:val="nil"/>
              <w:left w:val="nil"/>
              <w:bottom w:val="single" w:sz="4" w:space="0" w:color="auto"/>
              <w:right w:val="single" w:sz="4" w:space="0" w:color="auto"/>
            </w:tcBorders>
            <w:vAlign w:val="center"/>
            <w:hideMark/>
          </w:tcPr>
          <w:p w14:paraId="6C03D313" w14:textId="77777777" w:rsidR="00307360" w:rsidRPr="004A4051" w:rsidRDefault="00307360" w:rsidP="00203149">
            <w:pPr>
              <w:rPr>
                <w:sz w:val="20"/>
                <w:szCs w:val="20"/>
              </w:rPr>
            </w:pPr>
            <w:r w:rsidRPr="004A4051">
              <w:rPr>
                <w:sz w:val="20"/>
              </w:rPr>
              <w:t>USD 20</w:t>
            </w:r>
          </w:p>
        </w:tc>
      </w:tr>
      <w:tr w:rsidR="00307360" w:rsidRPr="004A4051" w14:paraId="67DB5CCD" w14:textId="77777777" w:rsidTr="00CB1A0C">
        <w:trPr>
          <w:trHeight w:val="793"/>
        </w:trPr>
        <w:tc>
          <w:tcPr>
            <w:tcW w:w="4962" w:type="dxa"/>
            <w:tcBorders>
              <w:top w:val="nil"/>
              <w:left w:val="single" w:sz="8" w:space="0" w:color="auto"/>
              <w:bottom w:val="single" w:sz="4" w:space="0" w:color="auto"/>
              <w:right w:val="single" w:sz="4" w:space="0" w:color="auto"/>
            </w:tcBorders>
            <w:vAlign w:val="center"/>
            <w:hideMark/>
          </w:tcPr>
          <w:p w14:paraId="58BF1E55" w14:textId="77777777" w:rsidR="00307360" w:rsidRPr="004A4051" w:rsidRDefault="00307360" w:rsidP="00203149">
            <w:pPr>
              <w:rPr>
                <w:sz w:val="20"/>
                <w:szCs w:val="20"/>
              </w:rPr>
            </w:pPr>
            <w:r w:rsidRPr="004A4051">
              <w:rPr>
                <w:sz w:val="20"/>
              </w:rPr>
              <w:t>Conversion of a financial instrument (conversion from depositary receipts to shares, from shares to depositary receipts)</w:t>
            </w:r>
          </w:p>
        </w:tc>
        <w:tc>
          <w:tcPr>
            <w:tcW w:w="5207" w:type="dxa"/>
            <w:tcBorders>
              <w:top w:val="nil"/>
              <w:left w:val="nil"/>
              <w:bottom w:val="single" w:sz="4" w:space="0" w:color="auto"/>
              <w:right w:val="single" w:sz="4" w:space="0" w:color="auto"/>
            </w:tcBorders>
            <w:vAlign w:val="center"/>
            <w:hideMark/>
          </w:tcPr>
          <w:p w14:paraId="36FB759A" w14:textId="77777777" w:rsidR="00307360" w:rsidRPr="004A4051" w:rsidRDefault="00307360" w:rsidP="00203149">
            <w:pPr>
              <w:rPr>
                <w:sz w:val="20"/>
                <w:szCs w:val="20"/>
              </w:rPr>
            </w:pPr>
            <w:r w:rsidRPr="004A4051">
              <w:rPr>
                <w:sz w:val="20"/>
              </w:rPr>
              <w:t>1.5 cents per depositary receipt, at least USD 20</w:t>
            </w:r>
          </w:p>
        </w:tc>
      </w:tr>
      <w:tr w:rsidR="00307360" w:rsidRPr="004A4051" w14:paraId="70233CDC" w14:textId="77777777" w:rsidTr="00CB1A0C">
        <w:trPr>
          <w:trHeight w:val="421"/>
        </w:trPr>
        <w:tc>
          <w:tcPr>
            <w:tcW w:w="4962" w:type="dxa"/>
            <w:tcBorders>
              <w:top w:val="nil"/>
              <w:left w:val="single" w:sz="8" w:space="0" w:color="auto"/>
              <w:bottom w:val="single" w:sz="4" w:space="0" w:color="auto"/>
              <w:right w:val="single" w:sz="4" w:space="0" w:color="auto"/>
            </w:tcBorders>
            <w:vAlign w:val="center"/>
            <w:hideMark/>
          </w:tcPr>
          <w:p w14:paraId="658405BA" w14:textId="77777777" w:rsidR="00307360" w:rsidRPr="004A4051" w:rsidRDefault="00307360" w:rsidP="00203149">
            <w:pPr>
              <w:rPr>
                <w:sz w:val="20"/>
                <w:szCs w:val="20"/>
              </w:rPr>
            </w:pPr>
            <w:r w:rsidRPr="004A4051">
              <w:rPr>
                <w:sz w:val="20"/>
              </w:rPr>
              <w:t>Registration of an encumbrance/pledge</w:t>
            </w:r>
          </w:p>
        </w:tc>
        <w:tc>
          <w:tcPr>
            <w:tcW w:w="5207" w:type="dxa"/>
            <w:tcBorders>
              <w:top w:val="nil"/>
              <w:left w:val="nil"/>
              <w:bottom w:val="single" w:sz="4" w:space="0" w:color="auto"/>
              <w:right w:val="single" w:sz="4" w:space="0" w:color="auto"/>
            </w:tcBorders>
            <w:vAlign w:val="center"/>
            <w:hideMark/>
          </w:tcPr>
          <w:p w14:paraId="14DCA7EF" w14:textId="77777777" w:rsidR="00307360" w:rsidRPr="004A4051" w:rsidRDefault="00307360" w:rsidP="00203149">
            <w:pPr>
              <w:rPr>
                <w:sz w:val="20"/>
                <w:szCs w:val="20"/>
              </w:rPr>
            </w:pPr>
            <w:r w:rsidRPr="004A4051">
              <w:rPr>
                <w:sz w:val="20"/>
              </w:rPr>
              <w:t>0.2% of the transaction amount, at least USD 20</w:t>
            </w:r>
          </w:p>
        </w:tc>
      </w:tr>
      <w:tr w:rsidR="00307360" w:rsidRPr="004A4051" w14:paraId="713FE4AC" w14:textId="77777777" w:rsidTr="00CB1A0C">
        <w:trPr>
          <w:trHeight w:val="602"/>
        </w:trPr>
        <w:tc>
          <w:tcPr>
            <w:tcW w:w="4962" w:type="dxa"/>
            <w:tcBorders>
              <w:top w:val="nil"/>
              <w:left w:val="single" w:sz="8" w:space="0" w:color="auto"/>
              <w:bottom w:val="single" w:sz="4" w:space="0" w:color="auto"/>
              <w:right w:val="single" w:sz="4" w:space="0" w:color="auto"/>
            </w:tcBorders>
            <w:vAlign w:val="center"/>
            <w:hideMark/>
          </w:tcPr>
          <w:p w14:paraId="12E2B73D" w14:textId="77777777" w:rsidR="00307360" w:rsidRPr="004A4051" w:rsidRDefault="00307360" w:rsidP="00203149">
            <w:pPr>
              <w:rPr>
                <w:sz w:val="20"/>
                <w:szCs w:val="20"/>
              </w:rPr>
            </w:pPr>
            <w:r w:rsidRPr="004A4051">
              <w:rPr>
                <w:sz w:val="20"/>
              </w:rPr>
              <w:t>Dematerialization of a financial instrument</w:t>
            </w:r>
          </w:p>
        </w:tc>
        <w:tc>
          <w:tcPr>
            <w:tcW w:w="5207" w:type="dxa"/>
            <w:tcBorders>
              <w:top w:val="nil"/>
              <w:left w:val="nil"/>
              <w:bottom w:val="single" w:sz="4" w:space="0" w:color="auto"/>
              <w:right w:val="single" w:sz="4" w:space="0" w:color="auto"/>
            </w:tcBorders>
            <w:vAlign w:val="center"/>
            <w:hideMark/>
          </w:tcPr>
          <w:p w14:paraId="1E9C679E" w14:textId="77777777" w:rsidR="00307360" w:rsidRPr="004A4051" w:rsidRDefault="00307360" w:rsidP="00203149">
            <w:pPr>
              <w:rPr>
                <w:sz w:val="20"/>
                <w:szCs w:val="20"/>
              </w:rPr>
            </w:pPr>
            <w:r w:rsidRPr="004A4051">
              <w:rPr>
                <w:sz w:val="20"/>
              </w:rPr>
              <w:t>0.02% of the financial instrument’s fair market value, at least USD 200</w:t>
            </w:r>
          </w:p>
        </w:tc>
      </w:tr>
      <w:tr w:rsidR="00307360" w:rsidRPr="004A4051" w14:paraId="3101C9F6" w14:textId="77777777" w:rsidTr="00CB1A0C">
        <w:trPr>
          <w:trHeight w:val="627"/>
        </w:trPr>
        <w:tc>
          <w:tcPr>
            <w:tcW w:w="4962" w:type="dxa"/>
            <w:tcBorders>
              <w:top w:val="nil"/>
              <w:left w:val="single" w:sz="8" w:space="0" w:color="auto"/>
              <w:bottom w:val="single" w:sz="4" w:space="0" w:color="auto"/>
              <w:right w:val="single" w:sz="4" w:space="0" w:color="auto"/>
            </w:tcBorders>
            <w:vAlign w:val="center"/>
            <w:hideMark/>
          </w:tcPr>
          <w:p w14:paraId="3B34973E" w14:textId="77777777" w:rsidR="00307360" w:rsidRPr="004A4051" w:rsidRDefault="00307360" w:rsidP="00203149">
            <w:pPr>
              <w:rPr>
                <w:sz w:val="20"/>
                <w:szCs w:val="20"/>
              </w:rPr>
            </w:pPr>
            <w:r w:rsidRPr="004A4051">
              <w:rPr>
                <w:sz w:val="20"/>
              </w:rPr>
              <w:t>Proxy voting on corporate actions</w:t>
            </w:r>
          </w:p>
        </w:tc>
        <w:tc>
          <w:tcPr>
            <w:tcW w:w="5207" w:type="dxa"/>
            <w:tcBorders>
              <w:top w:val="nil"/>
              <w:left w:val="nil"/>
              <w:bottom w:val="single" w:sz="4" w:space="0" w:color="auto"/>
              <w:right w:val="single" w:sz="4" w:space="0" w:color="auto"/>
            </w:tcBorders>
            <w:vAlign w:val="center"/>
            <w:hideMark/>
          </w:tcPr>
          <w:p w14:paraId="6B9AE9A2" w14:textId="77777777" w:rsidR="00307360" w:rsidRPr="004A4051" w:rsidRDefault="00307360" w:rsidP="00203149">
            <w:pPr>
              <w:rPr>
                <w:sz w:val="20"/>
                <w:szCs w:val="20"/>
              </w:rPr>
            </w:pPr>
            <w:r w:rsidRPr="004A4051">
              <w:rPr>
                <w:sz w:val="20"/>
              </w:rPr>
              <w:t>USD 70</w:t>
            </w:r>
          </w:p>
        </w:tc>
      </w:tr>
      <w:tr w:rsidR="00307360" w:rsidRPr="004A4051" w14:paraId="26893B9E" w14:textId="77777777" w:rsidTr="00CB1A0C">
        <w:trPr>
          <w:trHeight w:val="627"/>
        </w:trPr>
        <w:tc>
          <w:tcPr>
            <w:tcW w:w="4962" w:type="dxa"/>
            <w:tcBorders>
              <w:top w:val="nil"/>
              <w:left w:val="single" w:sz="8" w:space="0" w:color="auto"/>
              <w:bottom w:val="single" w:sz="4" w:space="0" w:color="auto"/>
              <w:right w:val="single" w:sz="4" w:space="0" w:color="auto"/>
            </w:tcBorders>
            <w:vAlign w:val="center"/>
          </w:tcPr>
          <w:p w14:paraId="2CADC19A" w14:textId="0226F86F" w:rsidR="00307360" w:rsidRPr="004A4051" w:rsidRDefault="001B5172" w:rsidP="00203149">
            <w:pPr>
              <w:rPr>
                <w:sz w:val="20"/>
                <w:szCs w:val="20"/>
              </w:rPr>
            </w:pPr>
            <w:r w:rsidRPr="004A4051">
              <w:rPr>
                <w:sz w:val="20"/>
              </w:rPr>
              <w:t>Safe</w:t>
            </w:r>
            <w:r>
              <w:rPr>
                <w:sz w:val="20"/>
              </w:rPr>
              <w:t>keeping of securities</w:t>
            </w:r>
            <w:r w:rsidRPr="004A4051">
              <w:rPr>
                <w:sz w:val="20"/>
              </w:rPr>
              <w:t xml:space="preserve"> </w:t>
            </w:r>
            <w:r w:rsidR="00307360" w:rsidRPr="004A4051">
              <w:rPr>
                <w:sz w:val="20"/>
              </w:rPr>
              <w:t>at Central Securities Depository JSC - depending on the volume of assets</w:t>
            </w:r>
          </w:p>
        </w:tc>
        <w:tc>
          <w:tcPr>
            <w:tcW w:w="5207" w:type="dxa"/>
            <w:tcBorders>
              <w:top w:val="nil"/>
              <w:left w:val="nil"/>
              <w:bottom w:val="single" w:sz="4" w:space="0" w:color="auto"/>
              <w:right w:val="single" w:sz="4" w:space="0" w:color="auto"/>
            </w:tcBorders>
            <w:vAlign w:val="center"/>
          </w:tcPr>
          <w:p w14:paraId="20E9059E" w14:textId="7AD4C4F9" w:rsidR="00307360" w:rsidRPr="004A4051" w:rsidRDefault="00307360" w:rsidP="00203149">
            <w:pPr>
              <w:rPr>
                <w:sz w:val="20"/>
                <w:szCs w:val="20"/>
              </w:rPr>
            </w:pPr>
            <w:r w:rsidRPr="004A4051">
              <w:rPr>
                <w:sz w:val="20"/>
              </w:rPr>
              <w:t>0.0</w:t>
            </w:r>
            <w:r w:rsidR="00134F0B">
              <w:rPr>
                <w:sz w:val="20"/>
                <w:lang w:val="ru-RU"/>
              </w:rPr>
              <w:t>3</w:t>
            </w:r>
            <w:r w:rsidRPr="004A4051">
              <w:rPr>
                <w:sz w:val="20"/>
              </w:rPr>
              <w:t>% p.a.</w:t>
            </w:r>
          </w:p>
        </w:tc>
      </w:tr>
      <w:tr w:rsidR="00307360" w:rsidRPr="004A4051" w14:paraId="0E32EF6A" w14:textId="77777777" w:rsidTr="00CB1A0C">
        <w:trPr>
          <w:trHeight w:val="627"/>
        </w:trPr>
        <w:tc>
          <w:tcPr>
            <w:tcW w:w="4962" w:type="dxa"/>
            <w:tcBorders>
              <w:top w:val="nil"/>
              <w:left w:val="single" w:sz="8" w:space="0" w:color="auto"/>
              <w:bottom w:val="single" w:sz="4" w:space="0" w:color="auto"/>
              <w:right w:val="single" w:sz="4" w:space="0" w:color="auto"/>
            </w:tcBorders>
            <w:vAlign w:val="center"/>
          </w:tcPr>
          <w:p w14:paraId="79C0DF3B" w14:textId="4CDD2640" w:rsidR="00307360" w:rsidRPr="004A4051" w:rsidRDefault="001B5172" w:rsidP="00203149">
            <w:pPr>
              <w:rPr>
                <w:sz w:val="20"/>
                <w:szCs w:val="20"/>
              </w:rPr>
            </w:pPr>
            <w:r w:rsidRPr="004A4051">
              <w:rPr>
                <w:sz w:val="20"/>
              </w:rPr>
              <w:t>Safe</w:t>
            </w:r>
            <w:r>
              <w:rPr>
                <w:sz w:val="20"/>
              </w:rPr>
              <w:t>keeping of securities</w:t>
            </w:r>
            <w:r w:rsidRPr="004A4051">
              <w:rPr>
                <w:sz w:val="20"/>
              </w:rPr>
              <w:t xml:space="preserve"> </w:t>
            </w:r>
            <w:r w:rsidR="00307360" w:rsidRPr="004A4051">
              <w:rPr>
                <w:sz w:val="20"/>
              </w:rPr>
              <w:t>at local custodian banks - depending on the volume of assets</w:t>
            </w:r>
          </w:p>
        </w:tc>
        <w:tc>
          <w:tcPr>
            <w:tcW w:w="5207" w:type="dxa"/>
            <w:tcBorders>
              <w:top w:val="nil"/>
              <w:left w:val="nil"/>
              <w:bottom w:val="single" w:sz="4" w:space="0" w:color="auto"/>
              <w:right w:val="single" w:sz="4" w:space="0" w:color="auto"/>
            </w:tcBorders>
            <w:vAlign w:val="center"/>
          </w:tcPr>
          <w:p w14:paraId="7740DB88" w14:textId="77777777" w:rsidR="00307360" w:rsidRPr="004A4051" w:rsidRDefault="00307360" w:rsidP="00203149">
            <w:pPr>
              <w:rPr>
                <w:sz w:val="20"/>
                <w:szCs w:val="20"/>
              </w:rPr>
            </w:pPr>
            <w:r w:rsidRPr="004A4051">
              <w:rPr>
                <w:sz w:val="20"/>
              </w:rPr>
              <w:t>0.2% p.a.</w:t>
            </w:r>
          </w:p>
        </w:tc>
      </w:tr>
      <w:tr w:rsidR="00307360" w:rsidRPr="004A4051" w14:paraId="4376E4FA" w14:textId="77777777" w:rsidTr="00CB1A0C">
        <w:trPr>
          <w:trHeight w:val="423"/>
        </w:trPr>
        <w:tc>
          <w:tcPr>
            <w:tcW w:w="10169" w:type="dxa"/>
            <w:gridSpan w:val="2"/>
            <w:tcBorders>
              <w:top w:val="nil"/>
              <w:left w:val="single" w:sz="8" w:space="0" w:color="auto"/>
              <w:bottom w:val="single" w:sz="4" w:space="0" w:color="auto"/>
              <w:right w:val="single" w:sz="4" w:space="0" w:color="auto"/>
            </w:tcBorders>
            <w:shd w:val="clear" w:color="auto" w:fill="0070C0"/>
            <w:vAlign w:val="center"/>
          </w:tcPr>
          <w:p w14:paraId="5317647D" w14:textId="77777777" w:rsidR="00307360" w:rsidRPr="004A4051" w:rsidRDefault="00307360" w:rsidP="00203149">
            <w:pPr>
              <w:jc w:val="center"/>
              <w:rPr>
                <w:sz w:val="20"/>
                <w:szCs w:val="20"/>
              </w:rPr>
            </w:pPr>
            <w:r w:rsidRPr="004A4051">
              <w:rPr>
                <w:b/>
                <w:color w:val="FFFFFF"/>
                <w:sz w:val="20"/>
              </w:rPr>
              <w:t>Brokerage services</w:t>
            </w:r>
          </w:p>
        </w:tc>
      </w:tr>
      <w:tr w:rsidR="00307360" w:rsidRPr="004A4051" w14:paraId="117BEE4C" w14:textId="77777777" w:rsidTr="00CB1A0C">
        <w:trPr>
          <w:trHeight w:val="862"/>
        </w:trPr>
        <w:tc>
          <w:tcPr>
            <w:tcW w:w="4962" w:type="dxa"/>
            <w:tcBorders>
              <w:top w:val="nil"/>
              <w:left w:val="single" w:sz="8" w:space="0" w:color="auto"/>
              <w:bottom w:val="single" w:sz="4" w:space="0" w:color="auto"/>
              <w:right w:val="single" w:sz="4" w:space="0" w:color="auto"/>
            </w:tcBorders>
            <w:vAlign w:val="center"/>
            <w:hideMark/>
          </w:tcPr>
          <w:p w14:paraId="433B354B" w14:textId="77777777" w:rsidR="00307360" w:rsidRPr="004A4051" w:rsidRDefault="00307360" w:rsidP="00203149">
            <w:pPr>
              <w:rPr>
                <w:sz w:val="20"/>
                <w:szCs w:val="20"/>
              </w:rPr>
            </w:pPr>
            <w:r w:rsidRPr="004A4051">
              <w:rPr>
                <w:sz w:val="20"/>
              </w:rPr>
              <w:t>Purchase/sale of financial instruments at KASE and AIX - depending on the transaction amount</w:t>
            </w:r>
          </w:p>
        </w:tc>
        <w:tc>
          <w:tcPr>
            <w:tcW w:w="5207" w:type="dxa"/>
            <w:tcBorders>
              <w:top w:val="nil"/>
              <w:left w:val="nil"/>
              <w:bottom w:val="single" w:sz="4" w:space="0" w:color="auto"/>
              <w:right w:val="single" w:sz="4" w:space="0" w:color="auto"/>
            </w:tcBorders>
            <w:vAlign w:val="center"/>
            <w:hideMark/>
          </w:tcPr>
          <w:p w14:paraId="51785C5B" w14:textId="77777777" w:rsidR="00307360" w:rsidRPr="004A4051" w:rsidRDefault="00307360" w:rsidP="00203149">
            <w:pPr>
              <w:spacing w:before="120"/>
              <w:rPr>
                <w:sz w:val="20"/>
                <w:szCs w:val="20"/>
              </w:rPr>
            </w:pPr>
            <w:r w:rsidRPr="004A4051">
              <w:rPr>
                <w:sz w:val="20"/>
              </w:rPr>
              <w:t xml:space="preserve">0.3%, at least USD 10 </w:t>
            </w:r>
          </w:p>
        </w:tc>
      </w:tr>
      <w:tr w:rsidR="00307360" w:rsidRPr="004A4051" w14:paraId="269506B2" w14:textId="77777777" w:rsidTr="00CB1A0C">
        <w:trPr>
          <w:trHeight w:val="637"/>
        </w:trPr>
        <w:tc>
          <w:tcPr>
            <w:tcW w:w="4962" w:type="dxa"/>
            <w:tcBorders>
              <w:top w:val="nil"/>
              <w:left w:val="single" w:sz="8" w:space="0" w:color="auto"/>
              <w:bottom w:val="single" w:sz="4" w:space="0" w:color="auto"/>
              <w:right w:val="single" w:sz="4" w:space="0" w:color="auto"/>
            </w:tcBorders>
            <w:vAlign w:val="center"/>
          </w:tcPr>
          <w:p w14:paraId="5A7187EA" w14:textId="77777777" w:rsidR="00307360" w:rsidRPr="004A4051" w:rsidRDefault="00307360" w:rsidP="00203149">
            <w:pPr>
              <w:rPr>
                <w:sz w:val="20"/>
                <w:szCs w:val="20"/>
              </w:rPr>
            </w:pPr>
            <w:r w:rsidRPr="004A4051">
              <w:rPr>
                <w:sz w:val="20"/>
              </w:rPr>
              <w:t>Purchase/sale of shares in the international market without the participation of any Kazakhstani custodian</w:t>
            </w:r>
          </w:p>
        </w:tc>
        <w:tc>
          <w:tcPr>
            <w:tcW w:w="5207" w:type="dxa"/>
            <w:tcBorders>
              <w:top w:val="nil"/>
              <w:left w:val="nil"/>
              <w:bottom w:val="single" w:sz="4" w:space="0" w:color="auto"/>
              <w:right w:val="single" w:sz="4" w:space="0" w:color="auto"/>
            </w:tcBorders>
            <w:vAlign w:val="center"/>
          </w:tcPr>
          <w:p w14:paraId="5077FF96" w14:textId="77777777" w:rsidR="00307360" w:rsidRPr="004A4051" w:rsidRDefault="00307360" w:rsidP="00203149">
            <w:pPr>
              <w:spacing w:before="120"/>
              <w:rPr>
                <w:sz w:val="20"/>
                <w:szCs w:val="20"/>
              </w:rPr>
            </w:pPr>
            <w:r w:rsidRPr="004A4051">
              <w:rPr>
                <w:sz w:val="20"/>
              </w:rPr>
              <w:t>0.4% of the transaction amount or USD 20, or 2 cents per share (whichever is higher)</w:t>
            </w:r>
          </w:p>
        </w:tc>
      </w:tr>
      <w:tr w:rsidR="00307360" w:rsidRPr="004A4051" w14:paraId="5F8C0B7C" w14:textId="77777777" w:rsidTr="00CB1A0C">
        <w:trPr>
          <w:trHeight w:val="844"/>
        </w:trPr>
        <w:tc>
          <w:tcPr>
            <w:tcW w:w="4962" w:type="dxa"/>
            <w:tcBorders>
              <w:top w:val="single" w:sz="4" w:space="0" w:color="auto"/>
              <w:left w:val="single" w:sz="4" w:space="0" w:color="auto"/>
              <w:bottom w:val="single" w:sz="4" w:space="0" w:color="auto"/>
              <w:right w:val="single" w:sz="4" w:space="0" w:color="auto"/>
            </w:tcBorders>
            <w:vAlign w:val="center"/>
            <w:hideMark/>
          </w:tcPr>
          <w:p w14:paraId="3E2E8F0A" w14:textId="77777777" w:rsidR="00307360" w:rsidRPr="004A4051" w:rsidRDefault="00307360" w:rsidP="00203149">
            <w:pPr>
              <w:rPr>
                <w:sz w:val="20"/>
                <w:szCs w:val="20"/>
              </w:rPr>
            </w:pPr>
            <w:r w:rsidRPr="004A4051">
              <w:rPr>
                <w:sz w:val="20"/>
              </w:rPr>
              <w:lastRenderedPageBreak/>
              <w:t>Purchase/sale of financial instruments in the over-the-counter/international market with the participation of a Kazakhstani custodian – depending on the transaction amount</w:t>
            </w:r>
          </w:p>
          <w:p w14:paraId="1B324B33" w14:textId="77777777" w:rsidR="00307360" w:rsidRPr="004A4051" w:rsidRDefault="00307360" w:rsidP="00203149">
            <w:pPr>
              <w:rPr>
                <w:sz w:val="20"/>
                <w:szCs w:val="20"/>
              </w:rPr>
            </w:pPr>
          </w:p>
        </w:tc>
        <w:tc>
          <w:tcPr>
            <w:tcW w:w="5207" w:type="dxa"/>
            <w:tcBorders>
              <w:top w:val="single" w:sz="4" w:space="0" w:color="auto"/>
              <w:left w:val="nil"/>
              <w:bottom w:val="single" w:sz="4" w:space="0" w:color="auto"/>
              <w:right w:val="single" w:sz="4" w:space="0" w:color="auto"/>
            </w:tcBorders>
            <w:vAlign w:val="center"/>
            <w:hideMark/>
          </w:tcPr>
          <w:p w14:paraId="737BB1D3" w14:textId="77777777" w:rsidR="00307360" w:rsidRPr="004A4051" w:rsidRDefault="00307360" w:rsidP="00203149">
            <w:pPr>
              <w:rPr>
                <w:sz w:val="20"/>
                <w:szCs w:val="20"/>
              </w:rPr>
            </w:pPr>
            <w:r w:rsidRPr="004A4051">
              <w:rPr>
                <w:sz w:val="20"/>
              </w:rPr>
              <w:t>0.5% of the transaction amount, at least USD 30</w:t>
            </w:r>
          </w:p>
          <w:p w14:paraId="6B61E4BC" w14:textId="77777777" w:rsidR="00307360" w:rsidRPr="004A4051" w:rsidRDefault="00307360" w:rsidP="00203149">
            <w:pPr>
              <w:rPr>
                <w:sz w:val="20"/>
                <w:szCs w:val="20"/>
              </w:rPr>
            </w:pPr>
          </w:p>
          <w:p w14:paraId="2590EE85" w14:textId="77777777" w:rsidR="00307360" w:rsidRPr="004A4051" w:rsidRDefault="00307360" w:rsidP="00203149">
            <w:pPr>
              <w:rPr>
                <w:sz w:val="20"/>
                <w:szCs w:val="20"/>
              </w:rPr>
            </w:pPr>
          </w:p>
          <w:p w14:paraId="441B1F49" w14:textId="77777777" w:rsidR="00307360" w:rsidRPr="004A4051" w:rsidRDefault="00307360" w:rsidP="00203149">
            <w:pPr>
              <w:rPr>
                <w:sz w:val="20"/>
                <w:szCs w:val="20"/>
              </w:rPr>
            </w:pPr>
          </w:p>
        </w:tc>
      </w:tr>
      <w:tr w:rsidR="00307360" w:rsidRPr="004A4051" w14:paraId="10EC82DE" w14:textId="77777777" w:rsidTr="00CB1A0C">
        <w:trPr>
          <w:trHeight w:val="1829"/>
        </w:trPr>
        <w:tc>
          <w:tcPr>
            <w:tcW w:w="4962" w:type="dxa"/>
            <w:tcBorders>
              <w:top w:val="single" w:sz="4" w:space="0" w:color="auto"/>
              <w:left w:val="single" w:sz="4" w:space="0" w:color="auto"/>
              <w:bottom w:val="single" w:sz="4" w:space="0" w:color="auto"/>
              <w:right w:val="single" w:sz="4" w:space="0" w:color="auto"/>
            </w:tcBorders>
            <w:vAlign w:val="center"/>
          </w:tcPr>
          <w:p w14:paraId="1AA17754" w14:textId="77777777" w:rsidR="00307360" w:rsidRPr="004A4051" w:rsidRDefault="00307360" w:rsidP="00203149">
            <w:pPr>
              <w:spacing w:before="120" w:after="120"/>
              <w:rPr>
                <w:sz w:val="20"/>
                <w:szCs w:val="20"/>
              </w:rPr>
            </w:pPr>
            <w:r w:rsidRPr="004A4051">
              <w:rPr>
                <w:sz w:val="20"/>
              </w:rPr>
              <w:t>REPO transactions</w:t>
            </w:r>
          </w:p>
          <w:p w14:paraId="3F6B9ED8" w14:textId="77777777" w:rsidR="00307360" w:rsidRPr="004A4051" w:rsidRDefault="00307360" w:rsidP="00307360">
            <w:pPr>
              <w:numPr>
                <w:ilvl w:val="0"/>
                <w:numId w:val="22"/>
              </w:numPr>
              <w:spacing w:after="160"/>
              <w:ind w:left="227" w:hanging="227"/>
              <w:rPr>
                <w:sz w:val="20"/>
                <w:szCs w:val="20"/>
              </w:rPr>
            </w:pPr>
            <w:r w:rsidRPr="004A4051">
              <w:rPr>
                <w:sz w:val="20"/>
              </w:rPr>
              <w:t>in case of a reverse REPO operation (placement of funds) – as a percentage of the customer’s income;</w:t>
            </w:r>
          </w:p>
          <w:p w14:paraId="1EB98955" w14:textId="77777777" w:rsidR="00307360" w:rsidRPr="004A4051" w:rsidRDefault="00307360" w:rsidP="00203149">
            <w:pPr>
              <w:ind w:left="195" w:hanging="195"/>
              <w:rPr>
                <w:sz w:val="20"/>
                <w:szCs w:val="20"/>
              </w:rPr>
            </w:pPr>
            <w:r w:rsidRPr="004A4051">
              <w:rPr>
                <w:rFonts w:ascii="Segoe UI Symbol" w:hAnsi="Segoe UI Symbol"/>
                <w:sz w:val="20"/>
              </w:rPr>
              <w:t xml:space="preserve">◾ </w:t>
            </w:r>
            <w:r w:rsidRPr="004A4051">
              <w:rPr>
                <w:sz w:val="20"/>
              </w:rPr>
              <w:t>in case of a REPO operation (raising funds) – as a percentage of the difference between the closing and opening volumes</w:t>
            </w:r>
          </w:p>
        </w:tc>
        <w:tc>
          <w:tcPr>
            <w:tcW w:w="5207" w:type="dxa"/>
            <w:tcBorders>
              <w:top w:val="single" w:sz="4" w:space="0" w:color="auto"/>
              <w:left w:val="nil"/>
              <w:bottom w:val="single" w:sz="4" w:space="0" w:color="auto"/>
              <w:right w:val="single" w:sz="4" w:space="0" w:color="auto"/>
            </w:tcBorders>
            <w:vAlign w:val="center"/>
          </w:tcPr>
          <w:p w14:paraId="4ED63295" w14:textId="23EAC71A" w:rsidR="00307360" w:rsidRPr="004A4051" w:rsidRDefault="00307360" w:rsidP="00203149">
            <w:pPr>
              <w:rPr>
                <w:sz w:val="20"/>
                <w:szCs w:val="20"/>
              </w:rPr>
            </w:pPr>
            <w:r w:rsidRPr="004A4051">
              <w:rPr>
                <w:rFonts w:ascii="Segoe UI Symbol" w:hAnsi="Segoe UI Symbol"/>
                <w:sz w:val="20"/>
              </w:rPr>
              <w:t>◾</w:t>
            </w:r>
            <w:r w:rsidRPr="004A4051">
              <w:rPr>
                <w:sz w:val="20"/>
              </w:rPr>
              <w:t xml:space="preserve"> 1%</w:t>
            </w:r>
            <w:r w:rsidR="00A86A81">
              <w:rPr>
                <w:sz w:val="20"/>
              </w:rPr>
              <w:t xml:space="preserve"> </w:t>
            </w:r>
            <w:r w:rsidR="00A86A81" w:rsidRPr="004A4051">
              <w:rPr>
                <w:sz w:val="20"/>
              </w:rPr>
              <w:t>of the</w:t>
            </w:r>
            <w:r w:rsidR="00A86A81">
              <w:rPr>
                <w:sz w:val="20"/>
              </w:rPr>
              <w:t xml:space="preserve"> amount of income within one client order</w:t>
            </w:r>
            <w:r w:rsidRPr="004A4051">
              <w:rPr>
                <w:sz w:val="20"/>
              </w:rPr>
              <w:t>, at least USD 10</w:t>
            </w:r>
          </w:p>
          <w:p w14:paraId="7E04C6DF" w14:textId="77777777" w:rsidR="00307360" w:rsidRPr="004A4051" w:rsidRDefault="00307360" w:rsidP="00203149">
            <w:pPr>
              <w:rPr>
                <w:sz w:val="20"/>
                <w:szCs w:val="20"/>
              </w:rPr>
            </w:pPr>
          </w:p>
          <w:p w14:paraId="184E5A57" w14:textId="7FAB8DA3" w:rsidR="00307360" w:rsidRPr="004A4051" w:rsidRDefault="00307360" w:rsidP="00203149">
            <w:pPr>
              <w:rPr>
                <w:sz w:val="20"/>
                <w:szCs w:val="20"/>
              </w:rPr>
            </w:pPr>
            <w:r w:rsidRPr="004A4051">
              <w:rPr>
                <w:rFonts w:ascii="Segoe UI Symbol" w:hAnsi="Segoe UI Symbol"/>
                <w:sz w:val="20"/>
              </w:rPr>
              <w:t>◾</w:t>
            </w:r>
            <w:r w:rsidRPr="004A4051">
              <w:rPr>
                <w:sz w:val="20"/>
              </w:rPr>
              <w:t xml:space="preserve"> 2% </w:t>
            </w:r>
            <w:r w:rsidR="00A35C19" w:rsidRPr="004A4051">
              <w:rPr>
                <w:sz w:val="20"/>
              </w:rPr>
              <w:t>of the</w:t>
            </w:r>
            <w:r w:rsidR="00A35C19">
              <w:rPr>
                <w:sz w:val="20"/>
              </w:rPr>
              <w:t xml:space="preserve"> amount of income within</w:t>
            </w:r>
            <w:r w:rsidR="00A35C19" w:rsidRPr="004A4051">
              <w:rPr>
                <w:sz w:val="20"/>
              </w:rPr>
              <w:t xml:space="preserve"> </w:t>
            </w:r>
            <w:r w:rsidRPr="004A4051">
              <w:rPr>
                <w:sz w:val="20"/>
              </w:rPr>
              <w:t>o</w:t>
            </w:r>
            <w:r w:rsidR="005867AD">
              <w:rPr>
                <w:sz w:val="20"/>
              </w:rPr>
              <w:t>ne client order</w:t>
            </w:r>
            <w:r w:rsidRPr="004A4051">
              <w:rPr>
                <w:sz w:val="20"/>
              </w:rPr>
              <w:t xml:space="preserve">, at least USD 20 </w:t>
            </w:r>
          </w:p>
        </w:tc>
      </w:tr>
      <w:tr w:rsidR="00307360" w:rsidRPr="004A4051" w14:paraId="5295848A" w14:textId="77777777" w:rsidTr="00E6049C">
        <w:trPr>
          <w:trHeight w:val="576"/>
        </w:trPr>
        <w:tc>
          <w:tcPr>
            <w:tcW w:w="4962" w:type="dxa"/>
            <w:tcBorders>
              <w:top w:val="single" w:sz="4" w:space="0" w:color="auto"/>
              <w:left w:val="single" w:sz="4" w:space="0" w:color="auto"/>
              <w:bottom w:val="single" w:sz="4" w:space="0" w:color="auto"/>
              <w:right w:val="single" w:sz="4" w:space="0" w:color="auto"/>
            </w:tcBorders>
          </w:tcPr>
          <w:p w14:paraId="5C652828" w14:textId="140585C5" w:rsidR="00E6049C" w:rsidRPr="00E6049C" w:rsidRDefault="00307360" w:rsidP="00203149">
            <w:pPr>
              <w:spacing w:before="120" w:after="120"/>
              <w:rPr>
                <w:sz w:val="20"/>
              </w:rPr>
            </w:pPr>
            <w:r w:rsidRPr="004A4051">
              <w:rPr>
                <w:sz w:val="20"/>
              </w:rPr>
              <w:t>Currency conversion at the exchange – depending on the conversion volume</w:t>
            </w:r>
          </w:p>
        </w:tc>
        <w:tc>
          <w:tcPr>
            <w:tcW w:w="5207" w:type="dxa"/>
            <w:tcBorders>
              <w:top w:val="single" w:sz="4" w:space="0" w:color="auto"/>
              <w:left w:val="nil"/>
              <w:bottom w:val="single" w:sz="4" w:space="0" w:color="auto"/>
              <w:right w:val="single" w:sz="4" w:space="0" w:color="auto"/>
            </w:tcBorders>
          </w:tcPr>
          <w:p w14:paraId="441F7CA4" w14:textId="77777777" w:rsidR="00E6049C" w:rsidRDefault="00E6049C" w:rsidP="00203149">
            <w:pPr>
              <w:rPr>
                <w:sz w:val="20"/>
              </w:rPr>
            </w:pPr>
          </w:p>
          <w:p w14:paraId="2FC27880" w14:textId="32E98852" w:rsidR="00E6049C" w:rsidRPr="00E6049C" w:rsidRDefault="00307360" w:rsidP="00203149">
            <w:pPr>
              <w:rPr>
                <w:sz w:val="20"/>
              </w:rPr>
            </w:pPr>
            <w:r w:rsidRPr="004A4051">
              <w:rPr>
                <w:sz w:val="20"/>
              </w:rPr>
              <w:t>0</w:t>
            </w:r>
            <w:r w:rsidR="00E6049C">
              <w:rPr>
                <w:sz w:val="20"/>
              </w:rPr>
              <w:t>,</w:t>
            </w:r>
            <w:r w:rsidRPr="004A4051">
              <w:rPr>
                <w:sz w:val="20"/>
              </w:rPr>
              <w:t>05% of the transaction amount, at least 1 MCI</w:t>
            </w:r>
          </w:p>
        </w:tc>
      </w:tr>
    </w:tbl>
    <w:p w14:paraId="2E0F5CAE" w14:textId="77777777" w:rsidR="00307360" w:rsidRPr="004A4051" w:rsidRDefault="00307360" w:rsidP="00307360">
      <w:pPr>
        <w:spacing w:after="120"/>
        <w:rPr>
          <w:b/>
          <w:bCs/>
          <w:i/>
          <w:iCs/>
          <w:sz w:val="22"/>
          <w:szCs w:val="22"/>
          <w:u w:val="single"/>
        </w:rPr>
      </w:pPr>
    </w:p>
    <w:p w14:paraId="318B57BE" w14:textId="77777777" w:rsidR="005055C9" w:rsidRDefault="00307360" w:rsidP="005055C9">
      <w:pPr>
        <w:spacing w:after="120"/>
        <w:rPr>
          <w:b/>
          <w:bCs/>
          <w:i/>
          <w:iCs/>
          <w:sz w:val="22"/>
          <w:szCs w:val="22"/>
          <w:u w:val="single"/>
        </w:rPr>
      </w:pPr>
      <w:r w:rsidRPr="004A4051">
        <w:rPr>
          <w:b/>
          <w:i/>
          <w:sz w:val="22"/>
          <w:u w:val="single"/>
        </w:rPr>
        <w:t>Notes</w:t>
      </w:r>
    </w:p>
    <w:p w14:paraId="72948BFB" w14:textId="78C7C411" w:rsidR="005055C9" w:rsidRPr="005055C9" w:rsidRDefault="005055C9" w:rsidP="005055C9">
      <w:pPr>
        <w:spacing w:after="120"/>
        <w:ind w:left="-426" w:hanging="283"/>
        <w:rPr>
          <w:b/>
          <w:bCs/>
          <w:i/>
          <w:iCs/>
          <w:sz w:val="22"/>
          <w:szCs w:val="22"/>
          <w:u w:val="single"/>
        </w:rPr>
      </w:pPr>
      <w:r w:rsidRPr="00DD39B3">
        <w:rPr>
          <w:rFonts w:ascii="Segoe UI Symbol" w:hAnsi="Segoe UI Symbol"/>
          <w:sz w:val="20"/>
          <w:szCs w:val="20"/>
        </w:rPr>
        <w:t>◾</w:t>
      </w:r>
      <w:r>
        <w:rPr>
          <w:rFonts w:ascii="Segoe UI Symbol" w:hAnsi="Segoe UI Symbol"/>
          <w:sz w:val="22"/>
        </w:rPr>
        <w:t xml:space="preserve"> </w:t>
      </w:r>
      <w:r w:rsidR="00932630" w:rsidRPr="005055C9">
        <w:rPr>
          <w:sz w:val="22"/>
        </w:rPr>
        <w:t>The above rates and tariffs include the rates and tariffs of third parties, which are, that is, other professional market participants in transactions and storage of securities, namely:. Tariffs of Kazakhstan Stock Exchange JSC, Central Securities Depository JSC, custodian banks, second-tier banks, AIFC exchange, AIFC Depository, international intermediary brokers and other commissions included in the transaction amount.</w:t>
      </w:r>
    </w:p>
    <w:p w14:paraId="5353CA09" w14:textId="42EBD274" w:rsidR="00307360" w:rsidRPr="005055C9" w:rsidRDefault="005055C9" w:rsidP="005055C9">
      <w:pPr>
        <w:spacing w:after="120"/>
        <w:ind w:left="-644"/>
        <w:jc w:val="both"/>
        <w:rPr>
          <w:bCs/>
          <w:sz w:val="22"/>
          <w:szCs w:val="22"/>
        </w:rPr>
      </w:pPr>
      <w:r>
        <w:rPr>
          <w:sz w:val="22"/>
        </w:rPr>
        <w:t xml:space="preserve">   </w:t>
      </w:r>
      <w:r w:rsidR="008454CA" w:rsidRPr="005055C9">
        <w:rPr>
          <w:sz w:val="22"/>
        </w:rPr>
        <w:t xml:space="preserve">The above </w:t>
      </w:r>
      <w:r w:rsidR="0038555F" w:rsidRPr="005055C9">
        <w:rPr>
          <w:sz w:val="22"/>
        </w:rPr>
        <w:t xml:space="preserve">tariffs </w:t>
      </w:r>
      <w:r w:rsidR="008454CA" w:rsidRPr="005055C9">
        <w:rPr>
          <w:sz w:val="22"/>
        </w:rPr>
        <w:t>do not include:</w:t>
      </w:r>
    </w:p>
    <w:p w14:paraId="507AA4EB" w14:textId="2C83C5B9" w:rsidR="00307360" w:rsidRPr="005055C9" w:rsidRDefault="005055C9" w:rsidP="005055C9">
      <w:pPr>
        <w:spacing w:after="120"/>
        <w:ind w:left="-426" w:hanging="141"/>
        <w:jc w:val="both"/>
        <w:rPr>
          <w:bCs/>
          <w:sz w:val="22"/>
          <w:szCs w:val="22"/>
        </w:rPr>
      </w:pPr>
      <w:r>
        <w:rPr>
          <w:sz w:val="22"/>
        </w:rPr>
        <w:t xml:space="preserve">  </w:t>
      </w:r>
      <w:r w:rsidR="00307360" w:rsidRPr="005055C9">
        <w:rPr>
          <w:sz w:val="22"/>
        </w:rPr>
        <w:t xml:space="preserve">The Stamp Duty at the rate of 0.2%/1.5% of the transaction amount depending on the SDRT* regime. </w:t>
      </w:r>
    </w:p>
    <w:p w14:paraId="361692CA" w14:textId="2681AB69" w:rsidR="00307360" w:rsidRPr="0038555F" w:rsidRDefault="005055C9" w:rsidP="005055C9">
      <w:pPr>
        <w:pStyle w:val="a6"/>
        <w:spacing w:after="120"/>
        <w:ind w:left="-567"/>
        <w:jc w:val="both"/>
        <w:rPr>
          <w:bCs/>
          <w:sz w:val="22"/>
          <w:szCs w:val="22"/>
        </w:rPr>
      </w:pPr>
      <w:r>
        <w:rPr>
          <w:sz w:val="22"/>
        </w:rPr>
        <w:t xml:space="preserve"> </w:t>
      </w:r>
      <w:r w:rsidR="00307360" w:rsidRPr="004A4051">
        <w:rPr>
          <w:sz w:val="22"/>
        </w:rPr>
        <w:t>*Stamp Duty Reserve Tax</w:t>
      </w:r>
    </w:p>
    <w:p w14:paraId="269D8017" w14:textId="7D438784" w:rsidR="0038555F" w:rsidRPr="0038555F" w:rsidRDefault="0038555F" w:rsidP="0038555F">
      <w:pPr>
        <w:spacing w:after="120"/>
        <w:ind w:left="-567"/>
        <w:jc w:val="both"/>
        <w:rPr>
          <w:sz w:val="22"/>
        </w:rPr>
      </w:pPr>
      <w:r>
        <w:rPr>
          <w:sz w:val="22"/>
        </w:rPr>
        <w:t xml:space="preserve">  </w:t>
      </w:r>
      <w:r w:rsidRPr="00E74B5C">
        <w:rPr>
          <w:sz w:val="22"/>
        </w:rPr>
        <w:t>Form W8-BEN filing fee.</w:t>
      </w:r>
    </w:p>
    <w:p w14:paraId="43AA8D3F" w14:textId="7FB6E0C7" w:rsidR="005055C9" w:rsidRPr="001939A1" w:rsidRDefault="005055C9" w:rsidP="005055C9">
      <w:pPr>
        <w:spacing w:after="120"/>
        <w:ind w:left="-567"/>
        <w:jc w:val="both"/>
        <w:rPr>
          <w:sz w:val="22"/>
        </w:rPr>
      </w:pPr>
      <w:r>
        <w:rPr>
          <w:sz w:val="22"/>
        </w:rPr>
        <w:t xml:space="preserve">  </w:t>
      </w:r>
      <w:r w:rsidRPr="00F918E3">
        <w:rPr>
          <w:sz w:val="22"/>
        </w:rPr>
        <w:t>Other commissions of third parties that were not provided above.</w:t>
      </w:r>
    </w:p>
    <w:p w14:paraId="00F98D05" w14:textId="77777777" w:rsidR="005055C9" w:rsidRPr="004A4051" w:rsidRDefault="005055C9" w:rsidP="005055C9">
      <w:pPr>
        <w:numPr>
          <w:ilvl w:val="0"/>
          <w:numId w:val="23"/>
        </w:numPr>
        <w:spacing w:after="120"/>
        <w:ind w:left="-426" w:hanging="283"/>
        <w:jc w:val="both"/>
        <w:rPr>
          <w:bCs/>
          <w:sz w:val="22"/>
          <w:szCs w:val="22"/>
        </w:rPr>
      </w:pPr>
      <w:r w:rsidRPr="004A4051">
        <w:rPr>
          <w:sz w:val="22"/>
        </w:rPr>
        <w:t xml:space="preserve">Any duties, taxes and fees that shall be withheld from the transactions in compliance with the legislation of the country where such transactions are effected, shall be payable by the Client and will not be deemed an obligation of the Company. </w:t>
      </w:r>
    </w:p>
    <w:p w14:paraId="00A3B836" w14:textId="77777777" w:rsidR="005055C9" w:rsidRPr="00ED79A8" w:rsidRDefault="005055C9" w:rsidP="005055C9">
      <w:pPr>
        <w:numPr>
          <w:ilvl w:val="0"/>
          <w:numId w:val="23"/>
        </w:numPr>
        <w:spacing w:after="120"/>
        <w:ind w:left="-426" w:hanging="283"/>
        <w:jc w:val="both"/>
        <w:rPr>
          <w:bCs/>
          <w:sz w:val="22"/>
          <w:szCs w:val="22"/>
        </w:rPr>
      </w:pPr>
      <w:r w:rsidRPr="004A4051">
        <w:rPr>
          <w:sz w:val="22"/>
        </w:rPr>
        <w:t>The Company's remuneration for transactions shall be calculated depending on the total volume of that part of the customer’s order that is fulfilled. So, if two or more transactions are concluded under a single order, the fees shall be calculated based on the total amount of the transactions concluded under such order.</w:t>
      </w:r>
    </w:p>
    <w:p w14:paraId="23DE965C" w14:textId="77777777" w:rsidR="005055C9" w:rsidRPr="002B2407" w:rsidRDefault="005055C9" w:rsidP="005055C9">
      <w:pPr>
        <w:numPr>
          <w:ilvl w:val="0"/>
          <w:numId w:val="23"/>
        </w:numPr>
        <w:spacing w:after="120"/>
        <w:ind w:left="-426" w:hanging="283"/>
        <w:jc w:val="both"/>
        <w:rPr>
          <w:sz w:val="22"/>
        </w:rPr>
      </w:pPr>
      <w:r w:rsidRPr="002B2407">
        <w:rPr>
          <w:sz w:val="22"/>
        </w:rPr>
        <w:t xml:space="preserve">The Company's remuneration for </w:t>
      </w:r>
      <w:r>
        <w:rPr>
          <w:sz w:val="22"/>
        </w:rPr>
        <w:t xml:space="preserve">safekeeping </w:t>
      </w:r>
      <w:r w:rsidRPr="002B2407">
        <w:rPr>
          <w:sz w:val="22"/>
        </w:rPr>
        <w:t>financial instruments is accrued at the official exchange rate of the National Bank of the Republic of Kazakhstan on the date of accrual of the remuneration. In the absence of market quotations, the nominal value in the currency of the issue is used as the market value.</w:t>
      </w:r>
    </w:p>
    <w:p w14:paraId="2D3B02E0" w14:textId="77777777" w:rsidR="005055C9" w:rsidRPr="00DB23B7" w:rsidRDefault="005055C9" w:rsidP="005055C9">
      <w:pPr>
        <w:numPr>
          <w:ilvl w:val="0"/>
          <w:numId w:val="23"/>
        </w:numPr>
        <w:spacing w:after="120"/>
        <w:ind w:left="-426" w:hanging="283"/>
        <w:jc w:val="both"/>
        <w:rPr>
          <w:bCs/>
          <w:sz w:val="22"/>
          <w:szCs w:val="22"/>
        </w:rPr>
      </w:pPr>
      <w:r w:rsidRPr="004A4051">
        <w:rPr>
          <w:sz w:val="22"/>
        </w:rPr>
        <w:t xml:space="preserve">The Company shall debit the Customer’s account without further authorization to discharge the </w:t>
      </w:r>
      <w:r w:rsidRPr="00DB23B7">
        <w:rPr>
          <w:sz w:val="22"/>
        </w:rPr>
        <w:t>Customer’s obligations to pay the fees.</w:t>
      </w:r>
    </w:p>
    <w:p w14:paraId="4BEA2673" w14:textId="77777777" w:rsidR="005055C9" w:rsidRPr="004A4051" w:rsidRDefault="005055C9" w:rsidP="005055C9">
      <w:pPr>
        <w:numPr>
          <w:ilvl w:val="0"/>
          <w:numId w:val="23"/>
        </w:numPr>
        <w:spacing w:after="120"/>
        <w:ind w:left="-426" w:hanging="283"/>
        <w:jc w:val="both"/>
        <w:rPr>
          <w:bCs/>
          <w:sz w:val="22"/>
          <w:szCs w:val="22"/>
        </w:rPr>
      </w:pPr>
      <w:r w:rsidRPr="00DB23B7">
        <w:rPr>
          <w:sz w:val="22"/>
        </w:rPr>
        <w:t xml:space="preserve">The Company shall be entitled, in a unilateral manner, to convert the funds from a foreign currency to the national one in an amount sufficient to make any payments </w:t>
      </w:r>
      <w:r>
        <w:rPr>
          <w:sz w:val="22"/>
        </w:rPr>
        <w:t>obligations</w:t>
      </w:r>
      <w:r w:rsidRPr="00DB23B7">
        <w:rPr>
          <w:sz w:val="22"/>
        </w:rPr>
        <w:t>, at the exchange rate established by the servicing bank as of the</w:t>
      </w:r>
      <w:r w:rsidRPr="004A4051">
        <w:rPr>
          <w:sz w:val="22"/>
        </w:rPr>
        <w:t xml:space="preserve"> conversion date.</w:t>
      </w:r>
    </w:p>
    <w:p w14:paraId="3685FC44" w14:textId="77777777" w:rsidR="00307360" w:rsidRPr="004A4051" w:rsidRDefault="00307360" w:rsidP="00307360">
      <w:pPr>
        <w:pStyle w:val="a6"/>
        <w:ind w:left="1068"/>
        <w:rPr>
          <w:b/>
        </w:rPr>
      </w:pPr>
    </w:p>
    <w:p w14:paraId="71267B0E" w14:textId="4D2B9BDD" w:rsidR="00307360" w:rsidRPr="004A4051" w:rsidRDefault="00307360" w:rsidP="00307360">
      <w:pPr>
        <w:spacing w:after="160" w:line="259" w:lineRule="auto"/>
      </w:pPr>
    </w:p>
    <w:p w14:paraId="15582A87" w14:textId="77777777" w:rsidR="00307360" w:rsidRPr="004A4051" w:rsidRDefault="00307360" w:rsidP="00307360">
      <w:pPr>
        <w:spacing w:after="160" w:line="259" w:lineRule="auto"/>
      </w:pPr>
    </w:p>
    <w:p w14:paraId="2D9CB5EA" w14:textId="77777777" w:rsidR="00307360" w:rsidRPr="004A4051" w:rsidRDefault="00307360" w:rsidP="007A0535">
      <w:pPr>
        <w:jc w:val="center"/>
        <w:rPr>
          <w:color w:val="152C52"/>
          <w:sz w:val="22"/>
          <w:szCs w:val="22"/>
        </w:rPr>
      </w:pPr>
    </w:p>
    <w:sectPr w:rsidR="00307360" w:rsidRPr="004A4051" w:rsidSect="007A0535">
      <w:footerReference w:type="default" r:id="rId8"/>
      <w:pgSz w:w="11906" w:h="16838"/>
      <w:pgMar w:top="1135" w:right="1133" w:bottom="1276" w:left="1701" w:header="720" w:footer="1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96F0" w14:textId="77777777" w:rsidR="008A64BC" w:rsidRDefault="008A64BC" w:rsidP="008C45C2">
      <w:r>
        <w:separator/>
      </w:r>
    </w:p>
  </w:endnote>
  <w:endnote w:type="continuationSeparator" w:id="0">
    <w:p w14:paraId="5A6F0C56" w14:textId="77777777" w:rsidR="008A64BC" w:rsidRDefault="008A64BC" w:rsidP="008C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5002EFF" w:usb1="C000E47F" w:usb2="0000002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66039"/>
      <w:docPartObj>
        <w:docPartGallery w:val="Page Numbers (Bottom of Page)"/>
        <w:docPartUnique/>
      </w:docPartObj>
    </w:sdtPr>
    <w:sdtEndPr>
      <w:rPr>
        <w:rFonts w:ascii="Times New Roman" w:hAnsi="Times New Roman" w:cs="Times New Roman"/>
        <w:szCs w:val="24"/>
      </w:rPr>
    </w:sdtEndPr>
    <w:sdtContent>
      <w:p w14:paraId="7877AE1C" w14:textId="1AE439ED" w:rsidR="008C45C2" w:rsidRPr="00C92B3E" w:rsidRDefault="008C45C2">
        <w:pPr>
          <w:pStyle w:val="ab"/>
          <w:jc w:val="center"/>
          <w:rPr>
            <w:rFonts w:ascii="Times New Roman" w:hAnsi="Times New Roman" w:cs="Times New Roman"/>
            <w:szCs w:val="24"/>
          </w:rPr>
        </w:pPr>
        <w:r w:rsidRPr="00C92B3E">
          <w:rPr>
            <w:rFonts w:ascii="Times New Roman" w:hAnsi="Times New Roman" w:cs="Times New Roman"/>
          </w:rPr>
          <w:fldChar w:fldCharType="begin"/>
        </w:r>
        <w:r w:rsidRPr="00C92B3E">
          <w:rPr>
            <w:rFonts w:ascii="Times New Roman" w:hAnsi="Times New Roman" w:cs="Times New Roman"/>
          </w:rPr>
          <w:instrText>PAGE   \* MERGEFORMAT</w:instrText>
        </w:r>
        <w:r w:rsidRPr="00C92B3E">
          <w:rPr>
            <w:rFonts w:ascii="Times New Roman" w:hAnsi="Times New Roman" w:cs="Times New Roman"/>
          </w:rPr>
          <w:fldChar w:fldCharType="separate"/>
        </w:r>
        <w:r w:rsidR="00C9357B" w:rsidRPr="00C92B3E">
          <w:rPr>
            <w:rFonts w:ascii="Times New Roman" w:hAnsi="Times New Roman" w:cs="Times New Roman"/>
          </w:rPr>
          <w:t>2</w:t>
        </w:r>
        <w:r w:rsidRPr="00C92B3E">
          <w:rPr>
            <w:rFonts w:ascii="Times New Roman" w:hAnsi="Times New Roman" w:cs="Times New Roman"/>
          </w:rPr>
          <w:fldChar w:fldCharType="end"/>
        </w:r>
      </w:p>
    </w:sdtContent>
  </w:sdt>
  <w:p w14:paraId="06F152E8" w14:textId="77777777" w:rsidR="008C45C2" w:rsidRDefault="008C45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95A5" w14:textId="77777777" w:rsidR="008A64BC" w:rsidRDefault="008A64BC" w:rsidP="008C45C2">
      <w:r>
        <w:separator/>
      </w:r>
    </w:p>
  </w:footnote>
  <w:footnote w:type="continuationSeparator" w:id="0">
    <w:p w14:paraId="325EF659" w14:textId="77777777" w:rsidR="008A64BC" w:rsidRDefault="008A64BC" w:rsidP="008C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BE5"/>
    <w:multiLevelType w:val="hybridMultilevel"/>
    <w:tmpl w:val="F654A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54BA"/>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033E0"/>
    <w:multiLevelType w:val="hybridMultilevel"/>
    <w:tmpl w:val="82B000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72FA7"/>
    <w:multiLevelType w:val="hybridMultilevel"/>
    <w:tmpl w:val="9D62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6521A"/>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518C2"/>
    <w:multiLevelType w:val="hybridMultilevel"/>
    <w:tmpl w:val="F6189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34B41"/>
    <w:multiLevelType w:val="hybridMultilevel"/>
    <w:tmpl w:val="3A3C8ADC"/>
    <w:lvl w:ilvl="0" w:tplc="B8D43E1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1320F9"/>
    <w:multiLevelType w:val="hybridMultilevel"/>
    <w:tmpl w:val="FF8A00A4"/>
    <w:lvl w:ilvl="0" w:tplc="7D72F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464B6F"/>
    <w:multiLevelType w:val="hybridMultilevel"/>
    <w:tmpl w:val="7096A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E2818"/>
    <w:multiLevelType w:val="hybridMultilevel"/>
    <w:tmpl w:val="1F986E52"/>
    <w:lvl w:ilvl="0" w:tplc="EC422642">
      <w:start w:val="3"/>
      <w:numFmt w:val="decimal"/>
      <w:lvlText w:val="%1."/>
      <w:lvlJc w:val="left"/>
      <w:pPr>
        <w:ind w:left="-1265" w:hanging="360"/>
      </w:pPr>
      <w:rPr>
        <w:rFonts w:hint="default"/>
      </w:rPr>
    </w:lvl>
    <w:lvl w:ilvl="1" w:tplc="20000019" w:tentative="1">
      <w:start w:val="1"/>
      <w:numFmt w:val="lowerLetter"/>
      <w:lvlText w:val="%2."/>
      <w:lvlJc w:val="left"/>
      <w:pPr>
        <w:ind w:left="-545" w:hanging="360"/>
      </w:pPr>
    </w:lvl>
    <w:lvl w:ilvl="2" w:tplc="2000001B" w:tentative="1">
      <w:start w:val="1"/>
      <w:numFmt w:val="lowerRoman"/>
      <w:lvlText w:val="%3."/>
      <w:lvlJc w:val="right"/>
      <w:pPr>
        <w:ind w:left="175" w:hanging="180"/>
      </w:pPr>
    </w:lvl>
    <w:lvl w:ilvl="3" w:tplc="2000000F" w:tentative="1">
      <w:start w:val="1"/>
      <w:numFmt w:val="decimal"/>
      <w:lvlText w:val="%4."/>
      <w:lvlJc w:val="left"/>
      <w:pPr>
        <w:ind w:left="895" w:hanging="360"/>
      </w:pPr>
    </w:lvl>
    <w:lvl w:ilvl="4" w:tplc="20000019" w:tentative="1">
      <w:start w:val="1"/>
      <w:numFmt w:val="lowerLetter"/>
      <w:lvlText w:val="%5."/>
      <w:lvlJc w:val="left"/>
      <w:pPr>
        <w:ind w:left="1615" w:hanging="360"/>
      </w:pPr>
    </w:lvl>
    <w:lvl w:ilvl="5" w:tplc="2000001B" w:tentative="1">
      <w:start w:val="1"/>
      <w:numFmt w:val="lowerRoman"/>
      <w:lvlText w:val="%6."/>
      <w:lvlJc w:val="right"/>
      <w:pPr>
        <w:ind w:left="2335" w:hanging="180"/>
      </w:pPr>
    </w:lvl>
    <w:lvl w:ilvl="6" w:tplc="2000000F" w:tentative="1">
      <w:start w:val="1"/>
      <w:numFmt w:val="decimal"/>
      <w:lvlText w:val="%7."/>
      <w:lvlJc w:val="left"/>
      <w:pPr>
        <w:ind w:left="3055" w:hanging="360"/>
      </w:pPr>
    </w:lvl>
    <w:lvl w:ilvl="7" w:tplc="20000019" w:tentative="1">
      <w:start w:val="1"/>
      <w:numFmt w:val="lowerLetter"/>
      <w:lvlText w:val="%8."/>
      <w:lvlJc w:val="left"/>
      <w:pPr>
        <w:ind w:left="3775" w:hanging="360"/>
      </w:pPr>
    </w:lvl>
    <w:lvl w:ilvl="8" w:tplc="2000001B" w:tentative="1">
      <w:start w:val="1"/>
      <w:numFmt w:val="lowerRoman"/>
      <w:lvlText w:val="%9."/>
      <w:lvlJc w:val="right"/>
      <w:pPr>
        <w:ind w:left="4495" w:hanging="180"/>
      </w:pPr>
    </w:lvl>
  </w:abstractNum>
  <w:abstractNum w:abstractNumId="10" w15:restartNumberingAfterBreak="0">
    <w:nsid w:val="39787CB1"/>
    <w:multiLevelType w:val="hybridMultilevel"/>
    <w:tmpl w:val="884A03D0"/>
    <w:lvl w:ilvl="0" w:tplc="AEBC1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3C03C9"/>
    <w:multiLevelType w:val="hybridMultilevel"/>
    <w:tmpl w:val="0C1CEFF2"/>
    <w:lvl w:ilvl="0" w:tplc="950094D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72EEC"/>
    <w:multiLevelType w:val="hybridMultilevel"/>
    <w:tmpl w:val="802C97C6"/>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13" w15:restartNumberingAfterBreak="0">
    <w:nsid w:val="42CA773E"/>
    <w:multiLevelType w:val="hybridMultilevel"/>
    <w:tmpl w:val="63120178"/>
    <w:lvl w:ilvl="0" w:tplc="93280B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C35F3"/>
    <w:multiLevelType w:val="hybridMultilevel"/>
    <w:tmpl w:val="C32E6F64"/>
    <w:lvl w:ilvl="0" w:tplc="F20C576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5A397AB5"/>
    <w:multiLevelType w:val="hybridMultilevel"/>
    <w:tmpl w:val="FD76599C"/>
    <w:lvl w:ilvl="0" w:tplc="DD8AB9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CD235CA"/>
    <w:multiLevelType w:val="hybridMultilevel"/>
    <w:tmpl w:val="41FCD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A3775"/>
    <w:multiLevelType w:val="hybridMultilevel"/>
    <w:tmpl w:val="FDFE98CA"/>
    <w:lvl w:ilvl="0" w:tplc="2C6A2D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52582C"/>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4396F"/>
    <w:multiLevelType w:val="hybridMultilevel"/>
    <w:tmpl w:val="6826ECFC"/>
    <w:lvl w:ilvl="0" w:tplc="EEBAE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2E60CB"/>
    <w:multiLevelType w:val="hybridMultilevel"/>
    <w:tmpl w:val="43127A42"/>
    <w:lvl w:ilvl="0" w:tplc="A9BADCD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57717B1"/>
    <w:multiLevelType w:val="hybridMultilevel"/>
    <w:tmpl w:val="305C8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578FE"/>
    <w:multiLevelType w:val="hybridMultilevel"/>
    <w:tmpl w:val="E684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2E4D1E"/>
    <w:multiLevelType w:val="hybridMultilevel"/>
    <w:tmpl w:val="E1120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7D13AD"/>
    <w:multiLevelType w:val="hybridMultilevel"/>
    <w:tmpl w:val="976A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896812"/>
    <w:multiLevelType w:val="hybridMultilevel"/>
    <w:tmpl w:val="8B0A8C80"/>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26" w15:restartNumberingAfterBreak="0">
    <w:nsid w:val="7F884F39"/>
    <w:multiLevelType w:val="hybridMultilevel"/>
    <w:tmpl w:val="EF68EA8E"/>
    <w:lvl w:ilvl="0" w:tplc="DB06238E">
      <w:start w:val="1"/>
      <w:numFmt w:val="decimal"/>
      <w:lvlText w:val="%1."/>
      <w:lvlJc w:val="left"/>
      <w:pPr>
        <w:tabs>
          <w:tab w:val="num" w:pos="-1265"/>
        </w:tabs>
        <w:ind w:left="-1265" w:hanging="360"/>
      </w:pPr>
      <w:rPr>
        <w:rFonts w:ascii="Times New Roman" w:eastAsia="Times New Roman" w:hAnsi="Times New Roman" w:cs="Times New Roman"/>
        <w:b w:val="0"/>
        <w:lang w:val="kk-KZ"/>
      </w:rPr>
    </w:lvl>
    <w:lvl w:ilvl="1" w:tplc="0419000F">
      <w:start w:val="1"/>
      <w:numFmt w:val="decimal"/>
      <w:lvlText w:val="%2."/>
      <w:lvlJc w:val="left"/>
      <w:pPr>
        <w:tabs>
          <w:tab w:val="num" w:pos="-545"/>
        </w:tabs>
        <w:ind w:left="-545" w:hanging="360"/>
      </w:pPr>
      <w:rPr>
        <w:rFonts w:hint="default"/>
        <w:b w:val="0"/>
      </w:rPr>
    </w:lvl>
    <w:lvl w:ilvl="2" w:tplc="0419001B" w:tentative="1">
      <w:start w:val="1"/>
      <w:numFmt w:val="lowerRoman"/>
      <w:lvlText w:val="%3."/>
      <w:lvlJc w:val="right"/>
      <w:pPr>
        <w:tabs>
          <w:tab w:val="num" w:pos="175"/>
        </w:tabs>
        <w:ind w:left="175" w:hanging="180"/>
      </w:pPr>
    </w:lvl>
    <w:lvl w:ilvl="3" w:tplc="0419000F" w:tentative="1">
      <w:start w:val="1"/>
      <w:numFmt w:val="decimal"/>
      <w:lvlText w:val="%4."/>
      <w:lvlJc w:val="left"/>
      <w:pPr>
        <w:tabs>
          <w:tab w:val="num" w:pos="895"/>
        </w:tabs>
        <w:ind w:left="895" w:hanging="360"/>
      </w:pPr>
    </w:lvl>
    <w:lvl w:ilvl="4" w:tplc="04190019" w:tentative="1">
      <w:start w:val="1"/>
      <w:numFmt w:val="lowerLetter"/>
      <w:lvlText w:val="%5."/>
      <w:lvlJc w:val="left"/>
      <w:pPr>
        <w:tabs>
          <w:tab w:val="num" w:pos="1615"/>
        </w:tabs>
        <w:ind w:left="1615" w:hanging="360"/>
      </w:pPr>
    </w:lvl>
    <w:lvl w:ilvl="5" w:tplc="0419001B" w:tentative="1">
      <w:start w:val="1"/>
      <w:numFmt w:val="lowerRoman"/>
      <w:lvlText w:val="%6."/>
      <w:lvlJc w:val="right"/>
      <w:pPr>
        <w:tabs>
          <w:tab w:val="num" w:pos="2335"/>
        </w:tabs>
        <w:ind w:left="2335" w:hanging="180"/>
      </w:pPr>
    </w:lvl>
    <w:lvl w:ilvl="6" w:tplc="0419000F" w:tentative="1">
      <w:start w:val="1"/>
      <w:numFmt w:val="decimal"/>
      <w:lvlText w:val="%7."/>
      <w:lvlJc w:val="left"/>
      <w:pPr>
        <w:tabs>
          <w:tab w:val="num" w:pos="3055"/>
        </w:tabs>
        <w:ind w:left="3055" w:hanging="360"/>
      </w:pPr>
    </w:lvl>
    <w:lvl w:ilvl="7" w:tplc="04190019" w:tentative="1">
      <w:start w:val="1"/>
      <w:numFmt w:val="lowerLetter"/>
      <w:lvlText w:val="%8."/>
      <w:lvlJc w:val="left"/>
      <w:pPr>
        <w:tabs>
          <w:tab w:val="num" w:pos="3775"/>
        </w:tabs>
        <w:ind w:left="3775" w:hanging="360"/>
      </w:pPr>
    </w:lvl>
    <w:lvl w:ilvl="8" w:tplc="0419001B" w:tentative="1">
      <w:start w:val="1"/>
      <w:numFmt w:val="lowerRoman"/>
      <w:lvlText w:val="%9."/>
      <w:lvlJc w:val="right"/>
      <w:pPr>
        <w:tabs>
          <w:tab w:val="num" w:pos="4495"/>
        </w:tabs>
        <w:ind w:left="4495" w:hanging="180"/>
      </w:pPr>
    </w:lvl>
  </w:abstractNum>
  <w:num w:numId="1" w16cid:durableId="634330826">
    <w:abstractNumId w:val="6"/>
  </w:num>
  <w:num w:numId="2" w16cid:durableId="374425817">
    <w:abstractNumId w:val="13"/>
  </w:num>
  <w:num w:numId="3" w16cid:durableId="1846356692">
    <w:abstractNumId w:val="22"/>
  </w:num>
  <w:num w:numId="4" w16cid:durableId="1414160900">
    <w:abstractNumId w:val="26"/>
  </w:num>
  <w:num w:numId="5" w16cid:durableId="990403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881274">
    <w:abstractNumId w:val="18"/>
  </w:num>
  <w:num w:numId="7" w16cid:durableId="1978879993">
    <w:abstractNumId w:val="4"/>
  </w:num>
  <w:num w:numId="8" w16cid:durableId="1442795822">
    <w:abstractNumId w:val="1"/>
  </w:num>
  <w:num w:numId="9" w16cid:durableId="441993938">
    <w:abstractNumId w:val="3"/>
  </w:num>
  <w:num w:numId="10" w16cid:durableId="1320771942">
    <w:abstractNumId w:val="2"/>
  </w:num>
  <w:num w:numId="11" w16cid:durableId="1032148218">
    <w:abstractNumId w:val="19"/>
  </w:num>
  <w:num w:numId="12" w16cid:durableId="173107424">
    <w:abstractNumId w:val="15"/>
  </w:num>
  <w:num w:numId="13" w16cid:durableId="420570801">
    <w:abstractNumId w:val="17"/>
  </w:num>
  <w:num w:numId="14" w16cid:durableId="1656031174">
    <w:abstractNumId w:val="7"/>
  </w:num>
  <w:num w:numId="15" w16cid:durableId="1059473159">
    <w:abstractNumId w:val="10"/>
  </w:num>
  <w:num w:numId="16" w16cid:durableId="1036850550">
    <w:abstractNumId w:val="23"/>
  </w:num>
  <w:num w:numId="17" w16cid:durableId="14501517">
    <w:abstractNumId w:val="24"/>
  </w:num>
  <w:num w:numId="18" w16cid:durableId="1671716583">
    <w:abstractNumId w:val="16"/>
  </w:num>
  <w:num w:numId="19" w16cid:durableId="24870627">
    <w:abstractNumId w:val="20"/>
  </w:num>
  <w:num w:numId="20" w16cid:durableId="1351951893">
    <w:abstractNumId w:val="9"/>
  </w:num>
  <w:num w:numId="21" w16cid:durableId="1318728720">
    <w:abstractNumId w:val="0"/>
  </w:num>
  <w:num w:numId="22" w16cid:durableId="1473331180">
    <w:abstractNumId w:val="21"/>
  </w:num>
  <w:num w:numId="23" w16cid:durableId="457727056">
    <w:abstractNumId w:val="8"/>
  </w:num>
  <w:num w:numId="24" w16cid:durableId="1785952472">
    <w:abstractNumId w:val="14"/>
  </w:num>
  <w:num w:numId="25" w16cid:durableId="2077388976">
    <w:abstractNumId w:val="11"/>
  </w:num>
  <w:num w:numId="26" w16cid:durableId="496768893">
    <w:abstractNumId w:val="25"/>
  </w:num>
  <w:num w:numId="27" w16cid:durableId="2029869029">
    <w:abstractNumId w:val="12"/>
  </w:num>
  <w:num w:numId="28" w16cid:durableId="1982491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wszAwMTQ0NLM0MjdS0lEKTi0uzszPAykwrgUAeTQMXywAAAA="/>
  </w:docVars>
  <w:rsids>
    <w:rsidRoot w:val="00F71DC7"/>
    <w:rsid w:val="00006716"/>
    <w:rsid w:val="000118AF"/>
    <w:rsid w:val="000209F0"/>
    <w:rsid w:val="00036C2D"/>
    <w:rsid w:val="000507DF"/>
    <w:rsid w:val="00060797"/>
    <w:rsid w:val="00060926"/>
    <w:rsid w:val="00061825"/>
    <w:rsid w:val="0006438F"/>
    <w:rsid w:val="0008453F"/>
    <w:rsid w:val="00085107"/>
    <w:rsid w:val="000B2CDA"/>
    <w:rsid w:val="000C16F0"/>
    <w:rsid w:val="000C7210"/>
    <w:rsid w:val="000F7D51"/>
    <w:rsid w:val="001001C8"/>
    <w:rsid w:val="00105022"/>
    <w:rsid w:val="00130052"/>
    <w:rsid w:val="00134F0B"/>
    <w:rsid w:val="001410DF"/>
    <w:rsid w:val="00141149"/>
    <w:rsid w:val="00164EE3"/>
    <w:rsid w:val="001725FB"/>
    <w:rsid w:val="00185230"/>
    <w:rsid w:val="0018594C"/>
    <w:rsid w:val="00192FD4"/>
    <w:rsid w:val="001939A1"/>
    <w:rsid w:val="0019501F"/>
    <w:rsid w:val="001A5F75"/>
    <w:rsid w:val="001B5172"/>
    <w:rsid w:val="001D6F52"/>
    <w:rsid w:val="001D7237"/>
    <w:rsid w:val="001F50F6"/>
    <w:rsid w:val="00205EAF"/>
    <w:rsid w:val="00213726"/>
    <w:rsid w:val="00222C03"/>
    <w:rsid w:val="00232DF1"/>
    <w:rsid w:val="00237F2F"/>
    <w:rsid w:val="00252ECB"/>
    <w:rsid w:val="00257054"/>
    <w:rsid w:val="002606FE"/>
    <w:rsid w:val="00273AC6"/>
    <w:rsid w:val="0028322A"/>
    <w:rsid w:val="002842F9"/>
    <w:rsid w:val="00291B2F"/>
    <w:rsid w:val="00297728"/>
    <w:rsid w:val="002B2407"/>
    <w:rsid w:val="002B3B0F"/>
    <w:rsid w:val="002C2B75"/>
    <w:rsid w:val="002C3C7D"/>
    <w:rsid w:val="002C476A"/>
    <w:rsid w:val="002C622E"/>
    <w:rsid w:val="00307360"/>
    <w:rsid w:val="003526FC"/>
    <w:rsid w:val="00372E52"/>
    <w:rsid w:val="00377DE6"/>
    <w:rsid w:val="0038555F"/>
    <w:rsid w:val="00397DA5"/>
    <w:rsid w:val="003B13EB"/>
    <w:rsid w:val="003B7E5A"/>
    <w:rsid w:val="003D0DED"/>
    <w:rsid w:val="003D1B07"/>
    <w:rsid w:val="003E2056"/>
    <w:rsid w:val="00407259"/>
    <w:rsid w:val="00407BA6"/>
    <w:rsid w:val="004115E9"/>
    <w:rsid w:val="00414E7D"/>
    <w:rsid w:val="0041541F"/>
    <w:rsid w:val="004252C1"/>
    <w:rsid w:val="004307E0"/>
    <w:rsid w:val="00465F48"/>
    <w:rsid w:val="00466FEF"/>
    <w:rsid w:val="004764D5"/>
    <w:rsid w:val="00487FFA"/>
    <w:rsid w:val="00490628"/>
    <w:rsid w:val="00495E03"/>
    <w:rsid w:val="004A241A"/>
    <w:rsid w:val="004A2622"/>
    <w:rsid w:val="004A4051"/>
    <w:rsid w:val="004F2660"/>
    <w:rsid w:val="00503E53"/>
    <w:rsid w:val="005055C9"/>
    <w:rsid w:val="00505683"/>
    <w:rsid w:val="00512424"/>
    <w:rsid w:val="0051426D"/>
    <w:rsid w:val="005145EA"/>
    <w:rsid w:val="00516D73"/>
    <w:rsid w:val="00535B2C"/>
    <w:rsid w:val="00552314"/>
    <w:rsid w:val="00577A71"/>
    <w:rsid w:val="005867AD"/>
    <w:rsid w:val="005901D2"/>
    <w:rsid w:val="005C4573"/>
    <w:rsid w:val="005E1C92"/>
    <w:rsid w:val="005E42EE"/>
    <w:rsid w:val="005F2DC8"/>
    <w:rsid w:val="006131EB"/>
    <w:rsid w:val="00614630"/>
    <w:rsid w:val="006331A9"/>
    <w:rsid w:val="00645AA2"/>
    <w:rsid w:val="00647B6E"/>
    <w:rsid w:val="00653878"/>
    <w:rsid w:val="00675A34"/>
    <w:rsid w:val="006A13B1"/>
    <w:rsid w:val="006A1D37"/>
    <w:rsid w:val="006A28BD"/>
    <w:rsid w:val="006A5E88"/>
    <w:rsid w:val="006B71EB"/>
    <w:rsid w:val="006C0AB4"/>
    <w:rsid w:val="006D3A8F"/>
    <w:rsid w:val="006E06B7"/>
    <w:rsid w:val="006F2406"/>
    <w:rsid w:val="0071415F"/>
    <w:rsid w:val="00715ADD"/>
    <w:rsid w:val="00734BC0"/>
    <w:rsid w:val="00742522"/>
    <w:rsid w:val="007432C0"/>
    <w:rsid w:val="00775D37"/>
    <w:rsid w:val="007940F4"/>
    <w:rsid w:val="007A0535"/>
    <w:rsid w:val="007A5DF6"/>
    <w:rsid w:val="007C4657"/>
    <w:rsid w:val="007E414B"/>
    <w:rsid w:val="007E6B3E"/>
    <w:rsid w:val="007F380A"/>
    <w:rsid w:val="008155A7"/>
    <w:rsid w:val="00824E02"/>
    <w:rsid w:val="0084213F"/>
    <w:rsid w:val="008454CA"/>
    <w:rsid w:val="008554EE"/>
    <w:rsid w:val="008A64BC"/>
    <w:rsid w:val="008C1EA1"/>
    <w:rsid w:val="008C45C2"/>
    <w:rsid w:val="008D5CC9"/>
    <w:rsid w:val="00900C0B"/>
    <w:rsid w:val="00930D69"/>
    <w:rsid w:val="00932630"/>
    <w:rsid w:val="00950F91"/>
    <w:rsid w:val="00971A2E"/>
    <w:rsid w:val="00985075"/>
    <w:rsid w:val="009A17CE"/>
    <w:rsid w:val="009A1BB1"/>
    <w:rsid w:val="009A3BE6"/>
    <w:rsid w:val="009E1D59"/>
    <w:rsid w:val="009E2BB6"/>
    <w:rsid w:val="009F65A7"/>
    <w:rsid w:val="009F73A4"/>
    <w:rsid w:val="00A004A8"/>
    <w:rsid w:val="00A35C19"/>
    <w:rsid w:val="00A62FF1"/>
    <w:rsid w:val="00A6368D"/>
    <w:rsid w:val="00A721EE"/>
    <w:rsid w:val="00A86A81"/>
    <w:rsid w:val="00A93AE8"/>
    <w:rsid w:val="00A96D47"/>
    <w:rsid w:val="00A97C0B"/>
    <w:rsid w:val="00AA0773"/>
    <w:rsid w:val="00AA07D3"/>
    <w:rsid w:val="00AA184A"/>
    <w:rsid w:val="00AA3911"/>
    <w:rsid w:val="00AB78AB"/>
    <w:rsid w:val="00AC12F6"/>
    <w:rsid w:val="00AC3840"/>
    <w:rsid w:val="00AC4EE2"/>
    <w:rsid w:val="00AC5529"/>
    <w:rsid w:val="00B40714"/>
    <w:rsid w:val="00B5500E"/>
    <w:rsid w:val="00B72AE9"/>
    <w:rsid w:val="00B811C4"/>
    <w:rsid w:val="00B906E8"/>
    <w:rsid w:val="00BA1B48"/>
    <w:rsid w:val="00BA1BCD"/>
    <w:rsid w:val="00BA3BAD"/>
    <w:rsid w:val="00BA7CA3"/>
    <w:rsid w:val="00BC5E82"/>
    <w:rsid w:val="00C148F7"/>
    <w:rsid w:val="00C36C17"/>
    <w:rsid w:val="00C528DF"/>
    <w:rsid w:val="00C54824"/>
    <w:rsid w:val="00C616F3"/>
    <w:rsid w:val="00C664DE"/>
    <w:rsid w:val="00C92B3E"/>
    <w:rsid w:val="00C9357B"/>
    <w:rsid w:val="00C97D4F"/>
    <w:rsid w:val="00CB1A0C"/>
    <w:rsid w:val="00CC05C6"/>
    <w:rsid w:val="00CD6F75"/>
    <w:rsid w:val="00CF77DC"/>
    <w:rsid w:val="00D00678"/>
    <w:rsid w:val="00D01EBA"/>
    <w:rsid w:val="00D11040"/>
    <w:rsid w:val="00D1105B"/>
    <w:rsid w:val="00D31CEC"/>
    <w:rsid w:val="00D528C7"/>
    <w:rsid w:val="00D73729"/>
    <w:rsid w:val="00D8567E"/>
    <w:rsid w:val="00D95382"/>
    <w:rsid w:val="00DB23B7"/>
    <w:rsid w:val="00DB62BE"/>
    <w:rsid w:val="00DD39B3"/>
    <w:rsid w:val="00DD44CF"/>
    <w:rsid w:val="00DE1E57"/>
    <w:rsid w:val="00DE563D"/>
    <w:rsid w:val="00E13298"/>
    <w:rsid w:val="00E162BE"/>
    <w:rsid w:val="00E23F92"/>
    <w:rsid w:val="00E273AD"/>
    <w:rsid w:val="00E6049C"/>
    <w:rsid w:val="00E6260A"/>
    <w:rsid w:val="00E74B5C"/>
    <w:rsid w:val="00E842D7"/>
    <w:rsid w:val="00E92B67"/>
    <w:rsid w:val="00EA51D6"/>
    <w:rsid w:val="00EC778D"/>
    <w:rsid w:val="00EC7A24"/>
    <w:rsid w:val="00ED79A8"/>
    <w:rsid w:val="00EE7A82"/>
    <w:rsid w:val="00EF06B4"/>
    <w:rsid w:val="00EF338E"/>
    <w:rsid w:val="00F00191"/>
    <w:rsid w:val="00F10871"/>
    <w:rsid w:val="00F13B3A"/>
    <w:rsid w:val="00F16ABB"/>
    <w:rsid w:val="00F20323"/>
    <w:rsid w:val="00F203D2"/>
    <w:rsid w:val="00F4719C"/>
    <w:rsid w:val="00F528C6"/>
    <w:rsid w:val="00F61942"/>
    <w:rsid w:val="00F71DC7"/>
    <w:rsid w:val="00F84BAD"/>
    <w:rsid w:val="00F918E3"/>
    <w:rsid w:val="00FC2D0A"/>
    <w:rsid w:val="00FD44A9"/>
    <w:rsid w:val="00FF05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E168"/>
  <w15:chartTrackingRefBased/>
  <w15:docId w15:val="{50016C92-FD35-417E-9252-C98797B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1DC7"/>
    <w:pPr>
      <w:pBdr>
        <w:top w:val="single" w:sz="6" w:space="1" w:color="auto"/>
        <w:left w:val="single" w:sz="6" w:space="4" w:color="auto"/>
        <w:bottom w:val="single" w:sz="6" w:space="1" w:color="auto"/>
        <w:right w:val="single" w:sz="6" w:space="4" w:color="auto"/>
      </w:pBdr>
      <w:shd w:val="pct20" w:color="auto" w:fill="auto"/>
      <w:jc w:val="center"/>
    </w:pPr>
    <w:rPr>
      <w:b/>
      <w:szCs w:val="20"/>
    </w:rPr>
  </w:style>
  <w:style w:type="character" w:customStyle="1" w:styleId="a4">
    <w:name w:val="Заголовок Знак"/>
    <w:basedOn w:val="a0"/>
    <w:link w:val="a3"/>
    <w:rsid w:val="00F71DC7"/>
    <w:rPr>
      <w:rFonts w:ascii="Times New Roman" w:eastAsia="Times New Roman" w:hAnsi="Times New Roman" w:cs="Times New Roman"/>
      <w:b/>
      <w:sz w:val="24"/>
      <w:szCs w:val="20"/>
      <w:shd w:val="pct20" w:color="auto" w:fill="auto"/>
      <w:lang w:eastAsia="ru-RU"/>
    </w:rPr>
  </w:style>
  <w:style w:type="paragraph" w:customStyle="1" w:styleId="BodyTextIndent21">
    <w:name w:val="Body Text Indent 21"/>
    <w:basedOn w:val="a"/>
    <w:rsid w:val="00F71DC7"/>
    <w:pPr>
      <w:ind w:firstLine="708"/>
      <w:jc w:val="both"/>
    </w:pPr>
    <w:rPr>
      <w:szCs w:val="20"/>
    </w:rPr>
  </w:style>
  <w:style w:type="table" w:styleId="a5">
    <w:name w:val="Table Grid"/>
    <w:basedOn w:val="a1"/>
    <w:uiPriority w:val="39"/>
    <w:rsid w:val="00F71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F71DC7"/>
    <w:pPr>
      <w:ind w:left="720"/>
      <w:contextualSpacing/>
    </w:pPr>
  </w:style>
  <w:style w:type="paragraph" w:styleId="a7">
    <w:name w:val="Balloon Text"/>
    <w:basedOn w:val="a"/>
    <w:link w:val="a8"/>
    <w:uiPriority w:val="99"/>
    <w:semiHidden/>
    <w:unhideWhenUsed/>
    <w:rsid w:val="00503E53"/>
    <w:rPr>
      <w:rFonts w:ascii="Segoe UI" w:hAnsi="Segoe UI" w:cs="Segoe UI"/>
      <w:sz w:val="18"/>
      <w:szCs w:val="18"/>
    </w:rPr>
  </w:style>
  <w:style w:type="character" w:customStyle="1" w:styleId="a8">
    <w:name w:val="Текст выноски Знак"/>
    <w:basedOn w:val="a0"/>
    <w:link w:val="a7"/>
    <w:uiPriority w:val="99"/>
    <w:semiHidden/>
    <w:rsid w:val="00503E53"/>
    <w:rPr>
      <w:rFonts w:ascii="Segoe UI" w:eastAsia="Times New Roman" w:hAnsi="Segoe UI" w:cs="Segoe UI"/>
      <w:sz w:val="18"/>
      <w:szCs w:val="18"/>
      <w:lang w:eastAsia="ru-RU"/>
    </w:rPr>
  </w:style>
  <w:style w:type="paragraph" w:styleId="a9">
    <w:name w:val="Body Text"/>
    <w:basedOn w:val="a"/>
    <w:link w:val="aa"/>
    <w:unhideWhenUsed/>
    <w:rsid w:val="00EE7A82"/>
    <w:pPr>
      <w:autoSpaceDN w:val="0"/>
      <w:jc w:val="both"/>
    </w:pPr>
    <w:rPr>
      <w:rFonts w:ascii="Arial" w:hAnsi="Arial" w:cs="Arial"/>
      <w:kern w:val="3"/>
      <w:lang w:eastAsia="zh-CN" w:bidi="hi-IN"/>
    </w:rPr>
  </w:style>
  <w:style w:type="character" w:customStyle="1" w:styleId="aa">
    <w:name w:val="Основной текст Знак"/>
    <w:basedOn w:val="a0"/>
    <w:link w:val="a9"/>
    <w:rsid w:val="00EE7A82"/>
    <w:rPr>
      <w:rFonts w:ascii="Arial" w:eastAsia="Times New Roman" w:hAnsi="Arial" w:cs="Arial"/>
      <w:kern w:val="3"/>
      <w:sz w:val="24"/>
      <w:szCs w:val="24"/>
      <w:lang w:eastAsia="zh-CN" w:bidi="hi-IN"/>
    </w:rPr>
  </w:style>
  <w:style w:type="paragraph" w:customStyle="1" w:styleId="Standard">
    <w:name w:val="Standard"/>
    <w:rsid w:val="00EE7A82"/>
    <w:pPr>
      <w:suppressAutoHyphens/>
      <w:autoSpaceDN w:val="0"/>
      <w:spacing w:after="200" w:line="276" w:lineRule="auto"/>
    </w:pPr>
    <w:rPr>
      <w:rFonts w:ascii="Calibri" w:eastAsia="Times New Roman" w:hAnsi="Calibri" w:cs="Calibri"/>
      <w:kern w:val="3"/>
      <w:lang w:eastAsia="zh-CN"/>
    </w:rPr>
  </w:style>
  <w:style w:type="paragraph" w:styleId="ab">
    <w:name w:val="footer"/>
    <w:basedOn w:val="Standard"/>
    <w:link w:val="ac"/>
    <w:uiPriority w:val="99"/>
    <w:unhideWhenUsed/>
    <w:rsid w:val="00EE7A82"/>
    <w:pPr>
      <w:tabs>
        <w:tab w:val="center" w:pos="4153"/>
        <w:tab w:val="right" w:pos="8306"/>
      </w:tabs>
      <w:spacing w:after="0" w:line="240" w:lineRule="auto"/>
    </w:pPr>
    <w:rPr>
      <w:rFonts w:ascii="Arial" w:hAnsi="Arial"/>
      <w:sz w:val="24"/>
      <w:szCs w:val="20"/>
    </w:rPr>
  </w:style>
  <w:style w:type="character" w:customStyle="1" w:styleId="ac">
    <w:name w:val="Нижний колонтитул Знак"/>
    <w:basedOn w:val="a0"/>
    <w:link w:val="ab"/>
    <w:uiPriority w:val="99"/>
    <w:rsid w:val="00EE7A82"/>
    <w:rPr>
      <w:rFonts w:ascii="Arial" w:eastAsia="Times New Roman" w:hAnsi="Arial" w:cs="Calibri"/>
      <w:kern w:val="3"/>
      <w:sz w:val="24"/>
      <w:szCs w:val="20"/>
      <w:lang w:eastAsia="zh-CN"/>
    </w:rPr>
  </w:style>
  <w:style w:type="character" w:styleId="ad">
    <w:name w:val="annotation reference"/>
    <w:basedOn w:val="a0"/>
    <w:uiPriority w:val="99"/>
    <w:semiHidden/>
    <w:unhideWhenUsed/>
    <w:rsid w:val="001001C8"/>
    <w:rPr>
      <w:sz w:val="16"/>
      <w:szCs w:val="16"/>
    </w:rPr>
  </w:style>
  <w:style w:type="paragraph" w:styleId="ae">
    <w:name w:val="annotation text"/>
    <w:basedOn w:val="a"/>
    <w:link w:val="af"/>
    <w:uiPriority w:val="99"/>
    <w:unhideWhenUsed/>
    <w:rsid w:val="001001C8"/>
    <w:rPr>
      <w:sz w:val="20"/>
      <w:szCs w:val="20"/>
    </w:rPr>
  </w:style>
  <w:style w:type="character" w:customStyle="1" w:styleId="af">
    <w:name w:val="Текст примечания Знак"/>
    <w:basedOn w:val="a0"/>
    <w:link w:val="ae"/>
    <w:uiPriority w:val="99"/>
    <w:rsid w:val="001001C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001C8"/>
    <w:rPr>
      <w:b/>
      <w:bCs/>
    </w:rPr>
  </w:style>
  <w:style w:type="character" w:customStyle="1" w:styleId="af1">
    <w:name w:val="Тема примечания Знак"/>
    <w:basedOn w:val="af"/>
    <w:link w:val="af0"/>
    <w:uiPriority w:val="99"/>
    <w:semiHidden/>
    <w:rsid w:val="001001C8"/>
    <w:rPr>
      <w:rFonts w:ascii="Times New Roman" w:eastAsia="Times New Roman" w:hAnsi="Times New Roman" w:cs="Times New Roman"/>
      <w:b/>
      <w:bCs/>
      <w:sz w:val="20"/>
      <w:szCs w:val="20"/>
      <w:lang w:eastAsia="ru-RU"/>
    </w:rPr>
  </w:style>
  <w:style w:type="paragraph" w:styleId="af2">
    <w:name w:val="header"/>
    <w:basedOn w:val="a"/>
    <w:link w:val="af3"/>
    <w:uiPriority w:val="99"/>
    <w:unhideWhenUsed/>
    <w:rsid w:val="008C45C2"/>
    <w:pPr>
      <w:tabs>
        <w:tab w:val="center" w:pos="4677"/>
        <w:tab w:val="right" w:pos="9355"/>
      </w:tabs>
    </w:pPr>
  </w:style>
  <w:style w:type="character" w:customStyle="1" w:styleId="af3">
    <w:name w:val="Верхний колонтитул Знак"/>
    <w:basedOn w:val="a0"/>
    <w:link w:val="af2"/>
    <w:uiPriority w:val="99"/>
    <w:rsid w:val="008C45C2"/>
    <w:rPr>
      <w:rFonts w:ascii="Times New Roman" w:eastAsia="Times New Roman" w:hAnsi="Times New Roman" w:cs="Times New Roman"/>
      <w:sz w:val="24"/>
      <w:szCs w:val="24"/>
      <w:lang w:eastAsia="ru-RU"/>
    </w:rPr>
  </w:style>
  <w:style w:type="paragraph" w:styleId="af4">
    <w:name w:val="Revision"/>
    <w:hidden/>
    <w:uiPriority w:val="99"/>
    <w:semiHidden/>
    <w:rsid w:val="003D1B07"/>
    <w:pPr>
      <w:spacing w:after="0"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BA1BCD"/>
  </w:style>
  <w:style w:type="character" w:customStyle="1" w:styleId="rynqvb">
    <w:name w:val="rynqvb"/>
    <w:basedOn w:val="a0"/>
    <w:rsid w:val="00F0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9499-9F52-4F69-A94E-A00C9D3F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 Beisenova</dc:creator>
  <cp:keywords/>
  <dc:description/>
  <cp:lastModifiedBy>Shynar Zhakanova</cp:lastModifiedBy>
  <cp:revision>71</cp:revision>
  <cp:lastPrinted>2023-04-11T10:53:00Z</cp:lastPrinted>
  <dcterms:created xsi:type="dcterms:W3CDTF">2023-08-29T08:34:00Z</dcterms:created>
  <dcterms:modified xsi:type="dcterms:W3CDTF">2023-09-18T12:17:00Z</dcterms:modified>
</cp:coreProperties>
</file>